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FE68E" w14:textId="77777777" w:rsidR="006A2792" w:rsidRPr="00AC14AE" w:rsidRDefault="006A2792" w:rsidP="00666990">
      <w:pPr>
        <w:pStyle w:val="NormalWeb"/>
        <w:shd w:val="clear" w:color="auto" w:fill="F8F9FA"/>
        <w:spacing w:before="0" w:beforeAutospacing="0"/>
        <w:ind w:left="708" w:hanging="708"/>
        <w:rPr>
          <w:rFonts w:ascii="Arial" w:hAnsi="Arial" w:cs="Arial"/>
          <w:color w:val="1D2125"/>
        </w:rPr>
      </w:pPr>
    </w:p>
    <w:p w14:paraId="24D1C59A" w14:textId="52F1EC37" w:rsidR="007F2FCF" w:rsidRPr="00AC14AE" w:rsidRDefault="007F2FCF" w:rsidP="007F2FCF">
      <w:pPr>
        <w:pStyle w:val="NormalWeb"/>
        <w:shd w:val="clear" w:color="auto" w:fill="F8F9FA"/>
        <w:spacing w:before="0" w:beforeAutospacing="0"/>
        <w:rPr>
          <w:rFonts w:ascii="Arial" w:hAnsi="Arial" w:cs="Arial"/>
          <w:color w:val="1D2125"/>
        </w:rPr>
      </w:pPr>
      <w:r w:rsidRPr="00AC14AE">
        <w:rPr>
          <w:rFonts w:ascii="Arial" w:hAnsi="Arial" w:cs="Arial"/>
          <w:color w:val="1D2125"/>
        </w:rPr>
        <w:t>LECCIÓN 2: Investigación Preliminar</w:t>
      </w:r>
    </w:p>
    <w:p w14:paraId="73618BE1" w14:textId="77777777" w:rsidR="009120D4" w:rsidRPr="00AC14AE" w:rsidRDefault="009120D4" w:rsidP="009120D4">
      <w:pPr>
        <w:pStyle w:val="NormalWeb"/>
        <w:shd w:val="clear" w:color="auto" w:fill="FFFFFF"/>
        <w:spacing w:before="0" w:beforeAutospacing="0"/>
        <w:jc w:val="both"/>
        <w:rPr>
          <w:rFonts w:ascii="Arial" w:hAnsi="Arial" w:cs="Arial"/>
        </w:rPr>
      </w:pPr>
      <w:r w:rsidRPr="00AC14AE">
        <w:rPr>
          <w:rFonts w:ascii="Arial" w:hAnsi="Arial" w:cs="Arial"/>
          <w:color w:val="1D2125"/>
        </w:rPr>
        <w:t xml:space="preserve">En el ámbito del derecho sancionador, la realización de una adecuada investigación preliminar facilita la detección y sanción de aquellas conductas o actuaciones que menoscaban el ordenamiento jurídico. Razón por la cual se ha sostenido que las mismas deben </w:t>
      </w:r>
      <w:r w:rsidRPr="00AC14AE">
        <w:rPr>
          <w:rFonts w:ascii="Arial" w:hAnsi="Arial" w:cs="Arial"/>
        </w:rPr>
        <w:t>desarrollarse amparadas en un alto estándar científico, técnico y jurídico.</w:t>
      </w:r>
    </w:p>
    <w:p w14:paraId="4BC86775" w14:textId="77777777" w:rsidR="00336C2C" w:rsidRPr="00AC14AE" w:rsidRDefault="00336C2C" w:rsidP="00336C2C">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Su origen radica en la necesidad que presenta la administración de obtener un conocimiento más profundo del quehacer público. Por lo tanto, las investigaciones preliminares se constituyen en mecanismos que permiten el estudio de las actuaciones ejercidas por los funcionarios públicos, con el fin de detectar posibles irregularidades en el desarrollo de sus labores.</w:t>
      </w:r>
    </w:p>
    <w:p w14:paraId="6BD5FA58" w14:textId="77777777" w:rsidR="00122641" w:rsidRPr="00AC14AE" w:rsidRDefault="00122641" w:rsidP="00122641">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Sobre el particular, es preciso indicar que en Costa Rica no se cuenta con una ley o normativa de alcance general que regule el procedimiento y la metodología de cómo efectuar una IP en la Administración Pública. Incluso, debemos tener presente que su instrucción es facultativa en la administración, pues no hay normativa que obliga a su ejecución, razón por la cual, en sentido estricto, no forma parte del procedimiento administrativo sancionatorio.</w:t>
      </w:r>
    </w:p>
    <w:p w14:paraId="0AF1E135" w14:textId="77777777" w:rsidR="00122641" w:rsidRPr="00AC14AE" w:rsidRDefault="00122641" w:rsidP="00122641">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Sin embargo, no por ello las administraciones se encuentran imposibilitadas de llevar a cabo este procedimiento. Si bien la IP es una fase facultativa, lo cierto es que es una etapa útil y conveniente, pues de ella surgen valiosos insumos que se pueden utilizar en el procedimiento administrativo con el fin de determinar la existencia de algún tipo de responsabilidad por parte de los sujetos que hayan infringido el ordenamiento jurídico.</w:t>
      </w:r>
    </w:p>
    <w:p w14:paraId="0E28B69E" w14:textId="77777777" w:rsidR="003A40D4" w:rsidRPr="00AC14AE" w:rsidRDefault="003A40D4" w:rsidP="003A40D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Así las cosas, debe tomarse en consideración </w:t>
      </w:r>
      <w:proofErr w:type="gramStart"/>
      <w:r w:rsidRPr="00AC14AE">
        <w:rPr>
          <w:rFonts w:ascii="Arial" w:hAnsi="Arial" w:cs="Arial"/>
          <w:color w:val="1D2125"/>
        </w:rPr>
        <w:t>que</w:t>
      </w:r>
      <w:proofErr w:type="gramEnd"/>
      <w:r w:rsidRPr="00AC14AE">
        <w:rPr>
          <w:rFonts w:ascii="Arial" w:hAnsi="Arial" w:cs="Arial"/>
          <w:color w:val="1D2125"/>
        </w:rPr>
        <w:t xml:space="preserve"> aunque no se cuenta con una metodología o procedimiento estándar y con rango de ley, la experiencia de cada institución, en conjunto con otras fuentes del derecho, han permitido ir generando sanas prácticas y reglas generales para realizar las investigaciones preliminares, las cuales pueden ser utilizadas como guías en las diversas administraciones en el desarrollo de sus funciones.</w:t>
      </w:r>
    </w:p>
    <w:p w14:paraId="4AF28924" w14:textId="77777777" w:rsidR="003A40D4" w:rsidRPr="00AC14AE" w:rsidRDefault="003A40D4" w:rsidP="003A40D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Con base en lo anterior, se procederá con el estudio de las temáticas esenciales cuya comprensión es indispensable tener como base de previo a dar inicio con una investigación preliminar, con el fin que sirvan de insumos a las diversas administraciones en el ejercicio de tan importante actividad.</w:t>
      </w:r>
    </w:p>
    <w:p w14:paraId="65518728" w14:textId="77777777" w:rsidR="00396144" w:rsidRPr="00AC14AE" w:rsidRDefault="00396144" w:rsidP="00396144">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1. Concepto</w:t>
      </w:r>
    </w:p>
    <w:p w14:paraId="03BB07B7" w14:textId="77777777" w:rsidR="00396144" w:rsidRPr="00AC14AE" w:rsidRDefault="00396144" w:rsidP="0039614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primer término, se debe tomar en consideración que, conforme lo indica Barrantes Echavarría, R. (2010), la palabra investigación proviene del latín “</w:t>
      </w:r>
      <w:proofErr w:type="spellStart"/>
      <w:r w:rsidRPr="00AC14AE">
        <w:rPr>
          <w:rFonts w:ascii="Arial" w:hAnsi="Arial" w:cs="Arial"/>
          <w:color w:val="1D2125"/>
        </w:rPr>
        <w:t>investigatio</w:t>
      </w:r>
      <w:proofErr w:type="spellEnd"/>
      <w:r w:rsidRPr="00AC14AE">
        <w:rPr>
          <w:rFonts w:ascii="Arial" w:hAnsi="Arial" w:cs="Arial"/>
          <w:color w:val="1D2125"/>
        </w:rPr>
        <w:t xml:space="preserve">” que significa seguir un rastro. La palabra está conformada por el latín: </w:t>
      </w:r>
      <w:r w:rsidRPr="00AC14AE">
        <w:rPr>
          <w:rFonts w:ascii="Arial" w:hAnsi="Arial" w:cs="Arial"/>
          <w:color w:val="1D2125"/>
        </w:rPr>
        <w:lastRenderedPageBreak/>
        <w:t>“in” que significa hacia y “</w:t>
      </w:r>
      <w:proofErr w:type="spellStart"/>
      <w:r w:rsidRPr="00AC14AE">
        <w:rPr>
          <w:rFonts w:ascii="Arial" w:hAnsi="Arial" w:cs="Arial"/>
          <w:color w:val="1D2125"/>
        </w:rPr>
        <w:t>vestigium</w:t>
      </w:r>
      <w:proofErr w:type="spellEnd"/>
      <w:r w:rsidRPr="00AC14AE">
        <w:rPr>
          <w:rFonts w:ascii="Arial" w:hAnsi="Arial" w:cs="Arial"/>
          <w:color w:val="1D2125"/>
        </w:rPr>
        <w:t>” que significa huella o pista. En otras palabras, investigación podría entenderse como “hacia la huella o pista” o “seguir la huella o pista”.</w:t>
      </w:r>
      <w:r w:rsidRPr="00AC14AE">
        <w:rPr>
          <w:rFonts w:ascii="Arial" w:hAnsi="Arial" w:cs="Arial"/>
          <w:color w:val="1D2125"/>
        </w:rPr>
        <w:br/>
      </w:r>
    </w:p>
    <w:p w14:paraId="3923A676" w14:textId="77777777" w:rsidR="00396144" w:rsidRPr="00AC14AE" w:rsidRDefault="00396144" w:rsidP="0039614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En cuanto al concepto de investigación preliminar, propiamente, es importante señalar que existen diversas definiciones desarrolladas tanto por juristas nacionales como internacionales. Una de ellas es la brindada por </w:t>
      </w:r>
      <w:proofErr w:type="spellStart"/>
      <w:r w:rsidRPr="00AC14AE">
        <w:rPr>
          <w:rFonts w:ascii="Arial" w:hAnsi="Arial" w:cs="Arial"/>
          <w:color w:val="1D2125"/>
        </w:rPr>
        <w:t>Jinesta</w:t>
      </w:r>
      <w:proofErr w:type="spellEnd"/>
      <w:r w:rsidRPr="00AC14AE">
        <w:rPr>
          <w:rFonts w:ascii="Arial" w:hAnsi="Arial" w:cs="Arial"/>
          <w:color w:val="1D2125"/>
        </w:rPr>
        <w:t xml:space="preserve"> Lobo, E. (</w:t>
      </w:r>
      <w:proofErr w:type="spellStart"/>
      <w:r w:rsidRPr="00AC14AE">
        <w:rPr>
          <w:rFonts w:ascii="Arial" w:hAnsi="Arial" w:cs="Arial"/>
          <w:color w:val="1D2125"/>
        </w:rPr>
        <w:t>s.f</w:t>
      </w:r>
      <w:proofErr w:type="spellEnd"/>
      <w:r w:rsidRPr="00AC14AE">
        <w:rPr>
          <w:rFonts w:ascii="Arial" w:hAnsi="Arial" w:cs="Arial"/>
          <w:color w:val="1D2125"/>
        </w:rPr>
        <w:t>), quien indica:</w:t>
      </w:r>
    </w:p>
    <w:p w14:paraId="27B5D270" w14:textId="77777777" w:rsidR="00396144" w:rsidRPr="00AC14AE" w:rsidRDefault="00396144" w:rsidP="00396144">
      <w:pPr>
        <w:pStyle w:val="NormalWeb"/>
        <w:shd w:val="clear" w:color="auto" w:fill="FFFFFF"/>
        <w:spacing w:before="0" w:beforeAutospacing="0"/>
        <w:jc w:val="both"/>
        <w:rPr>
          <w:rFonts w:ascii="Arial" w:hAnsi="Arial" w:cs="Arial"/>
          <w:color w:val="1D2125"/>
        </w:rPr>
      </w:pPr>
      <w:r w:rsidRPr="00BF0D29">
        <w:rPr>
          <w:rFonts w:ascii="Arial" w:hAnsi="Arial" w:cs="Arial"/>
          <w:color w:val="1D2125"/>
          <w:shd w:val="clear" w:color="auto" w:fill="C8BBFC"/>
        </w:rPr>
        <w:t>“</w:t>
      </w:r>
      <w:r w:rsidRPr="00BF0D29">
        <w:rPr>
          <w:rStyle w:val="nfasis"/>
          <w:rFonts w:ascii="Arial" w:eastAsiaTheme="majorEastAsia" w:hAnsi="Arial" w:cs="Arial"/>
          <w:color w:val="1D2125"/>
          <w:shd w:val="clear" w:color="auto" w:fill="C8BBFC"/>
        </w:rPr>
        <w:t xml:space="preserve">(...) La investigación preliminar se puede definir como aquella labor facultativa de comprobación desplegada por la propia administración pública de las circunstancias del caso concreto para determinar el grado de probabilidad o verosimilitud de la existencia de una falta o infracción, para identificar a los presuntos responsables de </w:t>
      </w:r>
      <w:proofErr w:type="gramStart"/>
      <w:r w:rsidRPr="00BF0D29">
        <w:rPr>
          <w:rStyle w:val="nfasis"/>
          <w:rFonts w:ascii="Arial" w:eastAsiaTheme="majorEastAsia" w:hAnsi="Arial" w:cs="Arial"/>
          <w:color w:val="1D2125"/>
          <w:shd w:val="clear" w:color="auto" w:fill="C8BBFC"/>
        </w:rPr>
        <w:t>ésta</w:t>
      </w:r>
      <w:proofErr w:type="gramEnd"/>
      <w:r w:rsidRPr="00BF0D29">
        <w:rPr>
          <w:rStyle w:val="nfasis"/>
          <w:rFonts w:ascii="Arial" w:eastAsiaTheme="majorEastAsia" w:hAnsi="Arial" w:cs="Arial"/>
          <w:color w:val="1D2125"/>
          <w:shd w:val="clear" w:color="auto" w:fill="C8BBFC"/>
        </w:rPr>
        <w:t xml:space="preserve"> o recabar elementos de juicio que permitan efectuar una intimación clara, precisa y circunstanciada. (...)</w:t>
      </w:r>
      <w:r w:rsidRPr="00BF0D29">
        <w:rPr>
          <w:rFonts w:ascii="Arial" w:hAnsi="Arial" w:cs="Arial"/>
          <w:color w:val="1D2125"/>
          <w:shd w:val="clear" w:color="auto" w:fill="C8BBFC"/>
        </w:rPr>
        <w:t>”</w:t>
      </w:r>
    </w:p>
    <w:p w14:paraId="0556D6CD" w14:textId="77777777" w:rsidR="00396144" w:rsidRPr="00AC14AE" w:rsidRDefault="00396144" w:rsidP="00396144">
      <w:pPr>
        <w:pStyle w:val="NormalWeb"/>
        <w:shd w:val="clear" w:color="auto" w:fill="FFFFFF"/>
        <w:spacing w:before="0" w:beforeAutospacing="0"/>
        <w:jc w:val="both"/>
        <w:rPr>
          <w:rFonts w:ascii="Arial" w:hAnsi="Arial" w:cs="Arial"/>
          <w:color w:val="1D2125"/>
        </w:rPr>
      </w:pPr>
      <w:bookmarkStart w:id="0" w:name="_Hlk193876154"/>
      <w:r w:rsidRPr="00AC14AE">
        <w:rPr>
          <w:rFonts w:ascii="Arial" w:hAnsi="Arial" w:cs="Arial"/>
          <w:color w:val="1D2125"/>
        </w:rPr>
        <w:t xml:space="preserve">En este sentido, </w:t>
      </w:r>
      <w:r w:rsidRPr="002F1EEE">
        <w:rPr>
          <w:rFonts w:ascii="Arial" w:hAnsi="Arial" w:cs="Arial"/>
        </w:rPr>
        <w:t xml:space="preserve">el objeto de una investigación preliminar consiste </w:t>
      </w:r>
      <w:r w:rsidRPr="00AC14AE">
        <w:rPr>
          <w:rFonts w:ascii="Arial" w:hAnsi="Arial" w:cs="Arial"/>
          <w:color w:val="1D2125"/>
        </w:rPr>
        <w:t>en la proposición de una hipótesis, que se tratará de probar o invalidar por medio del análisis de los hechos puestos a prueba, a través de un procedimiento que permita compararlos contra las conductas que se distinguen como constitutivas de alguna irregularidad según nuestro ordenamiento jurídico. Proceso mediante el cual, además, se determinará si existe sustento suficiente para proceder con la apertura de un procedimiento administrativo útil.</w:t>
      </w:r>
    </w:p>
    <w:bookmarkEnd w:id="0"/>
    <w:p w14:paraId="51935B0B" w14:textId="77777777" w:rsidR="000D449B" w:rsidRPr="00AC14AE" w:rsidRDefault="000D449B" w:rsidP="000D449B">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Lo anterior reviste suma importancia, por cuanto la apertura de procedimientos administrativos sólo en aquellos casos en que se ha determinado que existe mérito suficiente posterior a una</w:t>
      </w:r>
      <w:r w:rsidRPr="00AC14AE">
        <w:rPr>
          <w:rFonts w:ascii="Arial" w:hAnsi="Arial" w:cs="Arial"/>
          <w:color w:val="333333"/>
        </w:rPr>
        <w:t> IP</w:t>
      </w:r>
      <w:r w:rsidRPr="00AC14AE">
        <w:rPr>
          <w:rFonts w:ascii="Arial" w:hAnsi="Arial" w:cs="Arial"/>
          <w:color w:val="1D2125"/>
        </w:rPr>
        <w:t>, permite la racionalización en el uso de los fondos públicos en el despliegue de la potestad sancionadora, promoviendo el uso eficiente y eficaz de los recursos con que cuenta la administración en el desarrollo de sus labores ordinarias.</w:t>
      </w:r>
    </w:p>
    <w:p w14:paraId="28CCEFA9" w14:textId="77777777" w:rsidR="005261B9" w:rsidRPr="00031AD9" w:rsidRDefault="005261B9" w:rsidP="005261B9">
      <w:pPr>
        <w:shd w:val="clear" w:color="auto" w:fill="FFFFFF"/>
        <w:spacing w:after="100" w:afterAutospacing="1" w:line="240" w:lineRule="auto"/>
        <w:outlineLvl w:val="2"/>
        <w:rPr>
          <w:rFonts w:ascii="Arial" w:eastAsia="Times New Roman" w:hAnsi="Arial" w:cs="Arial"/>
          <w:b/>
          <w:bCs/>
          <w:noProof w:val="0"/>
          <w:color w:val="1D2125"/>
          <w:kern w:val="0"/>
          <w:sz w:val="24"/>
          <w:szCs w:val="24"/>
          <w:lang w:eastAsia="es-CR"/>
          <w14:ligatures w14:val="none"/>
        </w:rPr>
      </w:pPr>
      <w:r w:rsidRPr="00031AD9">
        <w:rPr>
          <w:rFonts w:ascii="Arial" w:eastAsia="Times New Roman" w:hAnsi="Arial" w:cs="Arial"/>
          <w:b/>
          <w:bCs/>
          <w:noProof w:val="0"/>
          <w:color w:val="1D2125"/>
          <w:kern w:val="0"/>
          <w:sz w:val="24"/>
          <w:szCs w:val="24"/>
          <w:lang w:eastAsia="es-CR"/>
          <w14:ligatures w14:val="none"/>
        </w:rPr>
        <w:t>2. Características</w:t>
      </w:r>
    </w:p>
    <w:p w14:paraId="5912DC7E" w14:textId="77777777" w:rsidR="005261B9" w:rsidRPr="00AC14AE" w:rsidRDefault="005261B9" w:rsidP="005261B9">
      <w:pPr>
        <w:shd w:val="clear" w:color="auto" w:fill="FFFFFF"/>
        <w:spacing w:after="100" w:afterAutospacing="1"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Teniendo claro el concepto de investigación preliminar, resulta de interés analizar cuáles son las características esenciales que deben prevalecer en dicha actividad, siendo estas:</w:t>
      </w:r>
    </w:p>
    <w:p w14:paraId="50C8076D" w14:textId="77777777" w:rsidR="007F2FCF" w:rsidRPr="00AC14AE" w:rsidRDefault="007F2FCF" w:rsidP="003013D6">
      <w:pPr>
        <w:tabs>
          <w:tab w:val="left" w:pos="2830"/>
        </w:tabs>
        <w:rPr>
          <w:rFonts w:ascii="Arial" w:eastAsia="Times New Roman" w:hAnsi="Arial" w:cs="Arial"/>
          <w:sz w:val="24"/>
          <w:szCs w:val="24"/>
          <w:lang w:eastAsia="es-CR"/>
        </w:rPr>
      </w:pPr>
    </w:p>
    <w:p w14:paraId="0671F15B" w14:textId="16DE768E" w:rsidR="00EA4EAF" w:rsidRPr="00AC14AE" w:rsidRDefault="000779AE" w:rsidP="009E2549">
      <w:pPr>
        <w:tabs>
          <w:tab w:val="left" w:pos="3550"/>
        </w:tabs>
        <w:rPr>
          <w:rFonts w:ascii="Arial" w:hAnsi="Arial" w:cs="Arial"/>
          <w:sz w:val="24"/>
          <w:szCs w:val="24"/>
        </w:rPr>
      </w:pPr>
      <w:r w:rsidRPr="00AC14AE">
        <w:rPr>
          <w:rFonts w:ascii="Arial" w:hAnsi="Arial" w:cs="Arial"/>
          <w:sz w:val="24"/>
          <w:szCs w:val="24"/>
        </w:rPr>
        <w:drawing>
          <wp:inline distT="0" distB="0" distL="0" distR="0" wp14:anchorId="5B901F29" wp14:editId="3DB66797">
            <wp:extent cx="5612130" cy="7052310"/>
            <wp:effectExtent l="0" t="0" r="7620" b="0"/>
            <wp:docPr id="810751531" name="Imagen 9"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751531" name="Imagen 9" descr="Imagen que contiene Diagrama&#10;&#10;Descripción generada automáticament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2130" cy="7052310"/>
                    </a:xfrm>
                    <a:prstGeom prst="rect">
                      <a:avLst/>
                    </a:prstGeom>
                    <a:noFill/>
                    <a:ln>
                      <a:noFill/>
                    </a:ln>
                  </pic:spPr>
                </pic:pic>
              </a:graphicData>
            </a:graphic>
          </wp:inline>
        </w:drawing>
      </w:r>
    </w:p>
    <w:p w14:paraId="486E60F7" w14:textId="77777777" w:rsidR="00613DD3" w:rsidRPr="00AC14AE" w:rsidRDefault="00613DD3" w:rsidP="00613DD3">
      <w:pPr>
        <w:rPr>
          <w:rFonts w:ascii="Arial" w:hAnsi="Arial" w:cs="Arial"/>
          <w:sz w:val="24"/>
          <w:szCs w:val="24"/>
        </w:rPr>
      </w:pPr>
    </w:p>
    <w:p w14:paraId="766C9A5D" w14:textId="77777777" w:rsidR="00031AD9" w:rsidRPr="00031AD9" w:rsidRDefault="00031AD9" w:rsidP="00031AD9"/>
    <w:p w14:paraId="7583CAB6" w14:textId="77777777" w:rsidR="00FE7E7D" w:rsidRPr="00031AD9" w:rsidRDefault="00FE7E7D" w:rsidP="00FE7E7D">
      <w:pPr>
        <w:pStyle w:val="Ttulo3"/>
        <w:shd w:val="clear" w:color="auto" w:fill="FFFFFF"/>
        <w:spacing w:before="0"/>
        <w:rPr>
          <w:rFonts w:ascii="Arial" w:eastAsia="Times New Roman" w:hAnsi="Arial" w:cs="Arial"/>
          <w:b/>
          <w:bCs/>
          <w:noProof w:val="0"/>
          <w:color w:val="1D2125"/>
          <w:kern w:val="0"/>
          <w:sz w:val="24"/>
          <w:szCs w:val="24"/>
          <w:lang w:eastAsia="es-CR"/>
          <w14:ligatures w14:val="none"/>
        </w:rPr>
      </w:pPr>
      <w:r w:rsidRPr="00031AD9">
        <w:rPr>
          <w:rFonts w:ascii="Arial" w:eastAsia="Times New Roman" w:hAnsi="Arial" w:cs="Arial"/>
          <w:b/>
          <w:bCs/>
          <w:noProof w:val="0"/>
          <w:color w:val="1D2125"/>
          <w:kern w:val="0"/>
          <w:sz w:val="24"/>
          <w:szCs w:val="24"/>
          <w:lang w:eastAsia="es-CR"/>
          <w14:ligatures w14:val="none"/>
        </w:rPr>
        <w:t>3. Fines</w:t>
      </w:r>
    </w:p>
    <w:p w14:paraId="5C0498BC"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bookmarkStart w:id="1" w:name="_Hlk193878762"/>
      <w:r w:rsidRPr="00AC14AE">
        <w:rPr>
          <w:rFonts w:ascii="Arial" w:eastAsia="Times New Roman" w:hAnsi="Arial" w:cs="Arial"/>
          <w:noProof w:val="0"/>
          <w:color w:val="1D2125"/>
          <w:kern w:val="0"/>
          <w:sz w:val="24"/>
          <w:szCs w:val="24"/>
          <w:lang w:eastAsia="es-CR"/>
          <w14:ligatures w14:val="none"/>
        </w:rPr>
        <w:t xml:space="preserve">Otro de los aspectos fundamentales de las investigaciones preliminares son los fines que se persiguen con su realización, los cuales pueden variar dependiendo de las particularidades de cada caso; no obstante, la doctrina nacional ha señalado la concurrencia de los tres de mayor relevancia. A manera de ejemplo, el profesor </w:t>
      </w:r>
      <w:proofErr w:type="spellStart"/>
      <w:r w:rsidRPr="00AC14AE">
        <w:rPr>
          <w:rFonts w:ascii="Arial" w:eastAsia="Times New Roman" w:hAnsi="Arial" w:cs="Arial"/>
          <w:noProof w:val="0"/>
          <w:color w:val="1D2125"/>
          <w:kern w:val="0"/>
          <w:sz w:val="24"/>
          <w:szCs w:val="24"/>
          <w:lang w:eastAsia="es-CR"/>
          <w14:ligatures w14:val="none"/>
        </w:rPr>
        <w:t>Jinesta</w:t>
      </w:r>
      <w:proofErr w:type="spellEnd"/>
      <w:r w:rsidRPr="00AC14AE">
        <w:rPr>
          <w:rFonts w:ascii="Arial" w:eastAsia="Times New Roman" w:hAnsi="Arial" w:cs="Arial"/>
          <w:noProof w:val="0"/>
          <w:color w:val="1D2125"/>
          <w:kern w:val="0"/>
          <w:sz w:val="24"/>
          <w:szCs w:val="24"/>
          <w:lang w:eastAsia="es-CR"/>
          <w14:ligatures w14:val="none"/>
        </w:rPr>
        <w:t xml:space="preserve"> Lobo, E. (</w:t>
      </w:r>
      <w:proofErr w:type="spellStart"/>
      <w:r w:rsidRPr="00AC14AE">
        <w:rPr>
          <w:rFonts w:ascii="Arial" w:eastAsia="Times New Roman" w:hAnsi="Arial" w:cs="Arial"/>
          <w:noProof w:val="0"/>
          <w:color w:val="1D2125"/>
          <w:kern w:val="0"/>
          <w:sz w:val="24"/>
          <w:szCs w:val="24"/>
          <w:lang w:eastAsia="es-CR"/>
          <w14:ligatures w14:val="none"/>
        </w:rPr>
        <w:t>s.f</w:t>
      </w:r>
      <w:proofErr w:type="spellEnd"/>
      <w:r w:rsidRPr="00AC14AE">
        <w:rPr>
          <w:rFonts w:ascii="Arial" w:eastAsia="Times New Roman" w:hAnsi="Arial" w:cs="Arial"/>
          <w:noProof w:val="0"/>
          <w:color w:val="1D2125"/>
          <w:kern w:val="0"/>
          <w:sz w:val="24"/>
          <w:szCs w:val="24"/>
          <w:lang w:eastAsia="es-CR"/>
          <w14:ligatures w14:val="none"/>
        </w:rPr>
        <w:t>) señala:</w:t>
      </w:r>
    </w:p>
    <w:p w14:paraId="37643E70" w14:textId="77777777" w:rsidR="00FE7E7D" w:rsidRPr="00AC14AE" w:rsidRDefault="00FE7E7D" w:rsidP="00FE7E7D">
      <w:pPr>
        <w:pStyle w:val="NormalWeb"/>
        <w:spacing w:before="0" w:beforeAutospacing="0"/>
        <w:jc w:val="both"/>
        <w:rPr>
          <w:rFonts w:ascii="Arial" w:hAnsi="Arial" w:cs="Arial"/>
          <w:color w:val="1D2125"/>
        </w:rPr>
      </w:pPr>
      <w:bookmarkStart w:id="2" w:name="_Hlk193876917"/>
      <w:r w:rsidRPr="00AC14AE">
        <w:rPr>
          <w:rStyle w:val="nfasis"/>
          <w:rFonts w:ascii="Arial" w:eastAsiaTheme="majorEastAsia" w:hAnsi="Arial" w:cs="Arial"/>
          <w:color w:val="1D2125"/>
        </w:rPr>
        <w:t>a) Determinar si existe mérito suficiente para abrir el respectivo procedimiento.</w:t>
      </w:r>
    </w:p>
    <w:p w14:paraId="1BBC15DF" w14:textId="77777777" w:rsidR="00FE7E7D" w:rsidRPr="00AC14AE" w:rsidRDefault="00FE7E7D" w:rsidP="00FE7E7D">
      <w:pPr>
        <w:pStyle w:val="NormalWeb"/>
        <w:spacing w:before="0" w:beforeAutospacing="0"/>
        <w:jc w:val="both"/>
        <w:rPr>
          <w:rFonts w:ascii="Arial" w:hAnsi="Arial" w:cs="Arial"/>
          <w:color w:val="1D2125"/>
        </w:rPr>
      </w:pPr>
      <w:r w:rsidRPr="00AC14AE">
        <w:rPr>
          <w:rStyle w:val="nfasis"/>
          <w:rFonts w:ascii="Arial" w:eastAsiaTheme="majorEastAsia" w:hAnsi="Arial" w:cs="Arial"/>
          <w:color w:val="1D2125"/>
        </w:rPr>
        <w:t>b) Identificar a los presuntos responsables cuando se trata de una falta anónima, sea que se desconoce, para ese momento, la identidad del sujeto infractor.</w:t>
      </w:r>
    </w:p>
    <w:p w14:paraId="199FD4EB" w14:textId="77777777" w:rsidR="00FE7E7D" w:rsidRPr="00AC14AE" w:rsidRDefault="00FE7E7D" w:rsidP="00FE7E7D">
      <w:pPr>
        <w:pStyle w:val="NormalWeb"/>
        <w:spacing w:before="0" w:beforeAutospacing="0"/>
        <w:jc w:val="both"/>
        <w:rPr>
          <w:rFonts w:ascii="Arial" w:hAnsi="Arial" w:cs="Arial"/>
          <w:color w:val="1D2125"/>
        </w:rPr>
      </w:pPr>
      <w:r w:rsidRPr="00AC14AE">
        <w:rPr>
          <w:rStyle w:val="nfasis"/>
          <w:rFonts w:ascii="Arial" w:eastAsiaTheme="majorEastAsia" w:hAnsi="Arial" w:cs="Arial"/>
          <w:color w:val="1D2125"/>
        </w:rPr>
        <w:t>c) Recabar elementos de juicio para formular el traslado de cargos o intimación.”</w:t>
      </w:r>
    </w:p>
    <w:bookmarkEnd w:id="2"/>
    <w:p w14:paraId="23B80B19" w14:textId="77777777" w:rsidR="00FE7E7D" w:rsidRPr="00AC14AE" w:rsidRDefault="00FE7E7D" w:rsidP="00FE7E7D">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De acuerdo con el caso concreto objeto de estudio, pueden concurrir todos estos fines o incluso otros más. Sin embargo, debe tenerse presente que el espíritu de la investigación preliminar es básicamente acreditar o desacreditar una situación fáctica presuntamente irregular, generando diversos insumos que pueden servir al órgano competente para que tome acciones en procura del establecimiento de las responsabilidades que estime procedentes.</w:t>
      </w:r>
    </w:p>
    <w:bookmarkEnd w:id="1"/>
    <w:p w14:paraId="668E7BBF" w14:textId="77777777" w:rsidR="00FE7E7D" w:rsidRPr="00AC14AE" w:rsidRDefault="00FE7E7D" w:rsidP="00FE7E7D">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síntesis, la actividad de investigación preliminar lo que busca es determinar, a modo de presunción, qué fue lo que sucedió, quién lo realizó, cómo lo hizo, cuándo y por qué. Así, según Henderson García, O. (2007), consiste en una tarea de reconstrucción de un hecho a partir de la información que se pueda obtener de las distintas fuentes de prueba.</w:t>
      </w:r>
    </w:p>
    <w:p w14:paraId="032E3B09" w14:textId="77777777" w:rsidR="00FE7E7D" w:rsidRPr="00031AD9" w:rsidRDefault="00FE7E7D" w:rsidP="00FE7E7D">
      <w:pPr>
        <w:spacing w:after="100" w:afterAutospacing="1" w:line="240" w:lineRule="auto"/>
        <w:outlineLvl w:val="2"/>
        <w:rPr>
          <w:rFonts w:ascii="Arial" w:eastAsia="Times New Roman" w:hAnsi="Arial" w:cs="Arial"/>
          <w:b/>
          <w:bCs/>
          <w:noProof w:val="0"/>
          <w:kern w:val="0"/>
          <w:sz w:val="24"/>
          <w:szCs w:val="24"/>
          <w:lang w:eastAsia="es-CR"/>
          <w14:ligatures w14:val="none"/>
        </w:rPr>
      </w:pPr>
      <w:r w:rsidRPr="00031AD9">
        <w:rPr>
          <w:rFonts w:ascii="Arial" w:eastAsia="Times New Roman" w:hAnsi="Arial" w:cs="Arial"/>
          <w:b/>
          <w:bCs/>
          <w:noProof w:val="0"/>
          <w:kern w:val="0"/>
          <w:sz w:val="24"/>
          <w:szCs w:val="24"/>
          <w:lang w:eastAsia="es-CR"/>
          <w14:ligatures w14:val="none"/>
        </w:rPr>
        <w:t>4. Plazos</w:t>
      </w:r>
    </w:p>
    <w:p w14:paraId="1F9B8A49"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Sobre este tema, debe indicarse que en nuestra normativa no existe un plazo determinado para que la administración lleve a cabo una investigación preliminar; sin embargo, esta circunstancia no puede interpretarse como una habilitación para que la persona investigadora se tome todo el tiempo que desee, sin imponerse ningún tipo de límite.</w:t>
      </w:r>
    </w:p>
    <w:p w14:paraId="2D14C6F9"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Lo anterior por cuanto, como administración pública, debemos velar por los intereses y necesidades de los ciudadanos, razón que justifica la exigencia de celeridad, eficacia y oficiosidad en el desarrollo de nuestras labores, entre ellas, el desarrollo de una IP. Dichos principios, incluso, han sido tutelados por medio de los artículos 15 y 19 del Reglamento a la Ley contra la </w:t>
      </w:r>
      <w:proofErr w:type="gramStart"/>
      <w:r w:rsidRPr="00AC14AE">
        <w:rPr>
          <w:rFonts w:ascii="Arial" w:eastAsia="Times New Roman" w:hAnsi="Arial" w:cs="Arial"/>
          <w:noProof w:val="0"/>
          <w:color w:val="1D2125"/>
          <w:kern w:val="0"/>
          <w:sz w:val="24"/>
          <w:szCs w:val="24"/>
          <w:lang w:eastAsia="es-CR"/>
          <w14:ligatures w14:val="none"/>
        </w:rPr>
        <w:t>Corrupción  y</w:t>
      </w:r>
      <w:proofErr w:type="gramEnd"/>
      <w:r w:rsidRPr="00AC14AE">
        <w:rPr>
          <w:rFonts w:ascii="Arial" w:eastAsia="Times New Roman" w:hAnsi="Arial" w:cs="Arial"/>
          <w:noProof w:val="0"/>
          <w:color w:val="1D2125"/>
          <w:kern w:val="0"/>
          <w:sz w:val="24"/>
          <w:szCs w:val="24"/>
          <w:lang w:eastAsia="es-CR"/>
          <w14:ligatures w14:val="none"/>
        </w:rPr>
        <w:t xml:space="preserve"> Enriquecimiento Ilícito en la Función Pública (RLCCEIFP), principios cuya aplicación podemos extender a la investigación de hechos irregulares, cualquiera que sea su origen.</w:t>
      </w:r>
    </w:p>
    <w:p w14:paraId="11220EA2"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Nuestro Tribunal Constitucional incluso, en reiteradas ocasiones, se ha referido al tema señalando que </w:t>
      </w:r>
      <w:proofErr w:type="gramStart"/>
      <w:r w:rsidRPr="00AC14AE">
        <w:rPr>
          <w:rFonts w:ascii="Arial" w:eastAsia="Times New Roman" w:hAnsi="Arial" w:cs="Arial"/>
          <w:noProof w:val="0"/>
          <w:color w:val="1D2125"/>
          <w:kern w:val="0"/>
          <w:sz w:val="24"/>
          <w:szCs w:val="24"/>
          <w:lang w:eastAsia="es-CR"/>
          <w14:ligatures w14:val="none"/>
        </w:rPr>
        <w:t>a pesar que</w:t>
      </w:r>
      <w:proofErr w:type="gramEnd"/>
      <w:r w:rsidRPr="00AC14AE">
        <w:rPr>
          <w:rFonts w:ascii="Arial" w:eastAsia="Times New Roman" w:hAnsi="Arial" w:cs="Arial"/>
          <w:noProof w:val="0"/>
          <w:color w:val="1D2125"/>
          <w:kern w:val="0"/>
          <w:sz w:val="24"/>
          <w:szCs w:val="24"/>
          <w:lang w:eastAsia="es-CR"/>
          <w14:ligatures w14:val="none"/>
        </w:rPr>
        <w:t xml:space="preserve"> no existe un plazo legalmente establecido al efecto, en el caso que existan personas denunciantes, estos tienen derecho a recibir una respuesta de su gestión en un plazo razonable, sea que tienen derecho a conocer el resultado de la investigación preliminar </w:t>
      </w:r>
      <w:proofErr w:type="gramStart"/>
      <w:r w:rsidRPr="00AC14AE">
        <w:rPr>
          <w:rFonts w:ascii="Arial" w:eastAsia="Times New Roman" w:hAnsi="Arial" w:cs="Arial"/>
          <w:noProof w:val="0"/>
          <w:color w:val="1D2125"/>
          <w:kern w:val="0"/>
          <w:sz w:val="24"/>
          <w:szCs w:val="24"/>
          <w:lang w:eastAsia="es-CR"/>
          <w14:ligatures w14:val="none"/>
        </w:rPr>
        <w:t>en caso que</w:t>
      </w:r>
      <w:proofErr w:type="gramEnd"/>
      <w:r w:rsidRPr="00AC14AE">
        <w:rPr>
          <w:rFonts w:ascii="Arial" w:eastAsia="Times New Roman" w:hAnsi="Arial" w:cs="Arial"/>
          <w:noProof w:val="0"/>
          <w:color w:val="1D2125"/>
          <w:kern w:val="0"/>
          <w:sz w:val="24"/>
          <w:szCs w:val="24"/>
          <w:lang w:eastAsia="es-CR"/>
          <w14:ligatures w14:val="none"/>
        </w:rPr>
        <w:t xml:space="preserve"> se haya iniciado. Sobre el particular, se aclara que es conocer el resultado no así el contenido del documento a emitir por parte de las personas investigadoras. En este sentido puede consultarse la resolución de la Sala Constitucional, n.º 16474-2007. (2007).</w:t>
      </w:r>
    </w:p>
    <w:p w14:paraId="62981DF6"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Sobre qué debe considerarse como un plazo razonable, el mismo Tribunal ha dispuesto que “la razonabilidad del tiempo demorado en oficiar y </w:t>
      </w:r>
      <w:proofErr w:type="gramStart"/>
      <w:r w:rsidRPr="00AC14AE">
        <w:rPr>
          <w:rFonts w:ascii="Arial" w:eastAsia="Times New Roman" w:hAnsi="Arial" w:cs="Arial"/>
          <w:noProof w:val="0"/>
          <w:color w:val="1D2125"/>
          <w:kern w:val="0"/>
          <w:sz w:val="24"/>
          <w:szCs w:val="24"/>
          <w:lang w:eastAsia="es-CR"/>
          <w14:ligatures w14:val="none"/>
        </w:rPr>
        <w:t>decidir,</w:t>
      </w:r>
      <w:proofErr w:type="gramEnd"/>
      <w:r w:rsidRPr="00AC14AE">
        <w:rPr>
          <w:rFonts w:ascii="Arial" w:eastAsia="Times New Roman" w:hAnsi="Arial" w:cs="Arial"/>
          <w:noProof w:val="0"/>
          <w:color w:val="1D2125"/>
          <w:kern w:val="0"/>
          <w:sz w:val="24"/>
          <w:szCs w:val="24"/>
          <w:lang w:eastAsia="es-CR"/>
          <w14:ligatures w14:val="none"/>
        </w:rPr>
        <w:t xml:space="preserve"> depende del grado de complejidad del asunto por investigar, circunstancia que sólo puede ser valorada casuísticamente” (Sala Constitucional,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2377-2006. (2006) y Sala Constitucional,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4593-2005. (2005)).</w:t>
      </w:r>
    </w:p>
    <w:p w14:paraId="00C260A8" w14:textId="77777777" w:rsidR="00FE7E7D" w:rsidRPr="00AC14AE" w:rsidRDefault="00FE7E7D" w:rsidP="00FE7E7D">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Sin embargo, no se debe olvidar que cada administración tiene la posibilidad de regular, internamente, su propio procedimiento para la atención de denuncias, en el cual puede establecerse los plazos que estime necesarios para el desarrollo y finalización de las investigaciones preliminares respectivas, siempre dentro del margen de razonabilidad señalado por la Sala Constitucional.</w:t>
      </w:r>
    </w:p>
    <w:p w14:paraId="23FF143C" w14:textId="77777777" w:rsidR="00D5680F" w:rsidRPr="00AC14AE" w:rsidRDefault="00FE7E7D" w:rsidP="00D5680F">
      <w:pPr>
        <w:shd w:val="clear" w:color="auto" w:fill="F8F9FA"/>
        <w:spacing w:after="100" w:afterAutospacing="1"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Así las cosas, se debe recordar que, </w:t>
      </w:r>
      <w:proofErr w:type="gramStart"/>
      <w:r w:rsidRPr="00AC14AE">
        <w:rPr>
          <w:rFonts w:ascii="Arial" w:eastAsia="Times New Roman" w:hAnsi="Arial" w:cs="Arial"/>
          <w:noProof w:val="0"/>
          <w:color w:val="1D2125"/>
          <w:kern w:val="0"/>
          <w:sz w:val="24"/>
          <w:szCs w:val="24"/>
          <w:lang w:eastAsia="es-CR"/>
          <w14:ligatures w14:val="none"/>
        </w:rPr>
        <w:t>a pesar que</w:t>
      </w:r>
      <w:proofErr w:type="gramEnd"/>
      <w:r w:rsidRPr="00AC14AE">
        <w:rPr>
          <w:rFonts w:ascii="Arial" w:eastAsia="Times New Roman" w:hAnsi="Arial" w:cs="Arial"/>
          <w:noProof w:val="0"/>
          <w:color w:val="1D2125"/>
          <w:kern w:val="0"/>
          <w:sz w:val="24"/>
          <w:szCs w:val="24"/>
          <w:lang w:eastAsia="es-CR"/>
          <w14:ligatures w14:val="none"/>
        </w:rPr>
        <w:t xml:space="preserve"> no existe un plazo legal para la ejecución de una investigación preliminar, la administración encargada debe asegurar que la misma sea atendida en un plazo prudencial, cuyo criterio debe justificarse en relación con la complejidad y amplitud del caso objeto de análisis. Esto, sin perder de vista que la excesiva duración o el retraso injustificado de una investigación puede, incluso, ser objeto de control en la vía administrativa o judicial.</w:t>
      </w:r>
      <w:r w:rsidRPr="00AC14AE">
        <w:rPr>
          <w:rFonts w:ascii="Arial" w:eastAsia="Times New Roman" w:hAnsi="Arial" w:cs="Arial"/>
          <w:noProof w:val="0"/>
          <w:color w:val="1D2125"/>
          <w:kern w:val="0"/>
          <w:sz w:val="24"/>
          <w:szCs w:val="24"/>
          <w:lang w:eastAsia="es-CR"/>
          <w14:ligatures w14:val="none"/>
        </w:rPr>
        <w:br/>
      </w:r>
      <w:r w:rsidRPr="00AC14AE">
        <w:rPr>
          <w:rFonts w:ascii="Arial" w:eastAsia="Times New Roman" w:hAnsi="Arial" w:cs="Arial"/>
          <w:noProof w:val="0"/>
          <w:color w:val="FFFFFF"/>
          <w:kern w:val="0"/>
          <w:sz w:val="24"/>
          <w:szCs w:val="24"/>
          <w:lang w:eastAsia="es-CR"/>
          <w14:ligatures w14:val="none"/>
        </w:rPr>
        <w:t>-</w:t>
      </w:r>
      <w:r w:rsidR="00D5680F" w:rsidRPr="00AC14AE">
        <w:rPr>
          <w:rFonts w:ascii="Arial" w:eastAsia="Times New Roman" w:hAnsi="Arial" w:cs="Arial"/>
          <w:noProof w:val="0"/>
          <w:color w:val="1D2125"/>
          <w:kern w:val="0"/>
          <w:sz w:val="24"/>
          <w:szCs w:val="24"/>
          <w:lang w:eastAsia="es-CR"/>
          <w14:ligatures w14:val="none"/>
        </w:rPr>
        <w:t xml:space="preserve"> </w:t>
      </w:r>
    </w:p>
    <w:p w14:paraId="4D643225" w14:textId="144C5191" w:rsidR="00FE7E7D" w:rsidRPr="00AC14AE" w:rsidRDefault="00D5680F" w:rsidP="007B20B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Tópico 2 - Sujetos intervinientes</w:t>
      </w:r>
    </w:p>
    <w:p w14:paraId="2BAA76EC" w14:textId="77777777" w:rsidR="008F4C5E" w:rsidRPr="00AC14AE" w:rsidRDefault="008F4C5E" w:rsidP="008F4C5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A continuación, un breve análisis de los sujetos que pueden formar parte de una investigación preliminar.</w:t>
      </w:r>
    </w:p>
    <w:p w14:paraId="45A1040A" w14:textId="77777777" w:rsidR="008F4C5E" w:rsidRPr="00AC14AE" w:rsidRDefault="008F4C5E" w:rsidP="008F4C5E">
      <w:pPr>
        <w:shd w:val="clear" w:color="auto" w:fill="FFFFFF"/>
        <w:spacing w:after="100" w:afterAutospacing="1" w:line="240" w:lineRule="auto"/>
        <w:outlineLvl w:val="2"/>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1. Contraloría General de la República (CGR)</w:t>
      </w:r>
    </w:p>
    <w:p w14:paraId="4D24D856"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Sobre los sujetos legitimados para ordenar y realizar una IP, propiamente, debe señalarse que el ordenamiento jurídico permite, en general, la actuación de la </w:t>
      </w:r>
      <w:r w:rsidRPr="00AC14AE">
        <w:rPr>
          <w:rFonts w:ascii="Arial" w:eastAsia="Times New Roman" w:hAnsi="Arial" w:cs="Arial"/>
          <w:noProof w:val="0"/>
          <w:color w:val="333333"/>
          <w:kern w:val="0"/>
          <w:sz w:val="24"/>
          <w:szCs w:val="24"/>
          <w:lang w:eastAsia="es-CR"/>
          <w14:ligatures w14:val="none"/>
        </w:rPr>
        <w:t>CGR</w:t>
      </w:r>
      <w:r w:rsidRPr="00AC14AE">
        <w:rPr>
          <w:rFonts w:ascii="Arial" w:eastAsia="Times New Roman" w:hAnsi="Arial" w:cs="Arial"/>
          <w:noProof w:val="0"/>
          <w:color w:val="1D2125"/>
          <w:kern w:val="0"/>
          <w:sz w:val="24"/>
          <w:szCs w:val="24"/>
          <w:lang w:eastAsia="es-CR"/>
          <w14:ligatures w14:val="none"/>
        </w:rPr>
        <w:t xml:space="preserve">, las auditorías internas institucionales y la administración. Con base en la valoración de las circunstancias específicas de cada caso, es que se determinará quién de ellas es la legitimada para </w:t>
      </w:r>
      <w:proofErr w:type="gramStart"/>
      <w:r w:rsidRPr="00AC14AE">
        <w:rPr>
          <w:rFonts w:ascii="Arial" w:eastAsia="Times New Roman" w:hAnsi="Arial" w:cs="Arial"/>
          <w:noProof w:val="0"/>
          <w:color w:val="1D2125"/>
          <w:kern w:val="0"/>
          <w:sz w:val="24"/>
          <w:szCs w:val="24"/>
          <w:lang w:eastAsia="es-CR"/>
          <w14:ligatures w14:val="none"/>
        </w:rPr>
        <w:t>dar inicio a</w:t>
      </w:r>
      <w:proofErr w:type="gramEnd"/>
      <w:r w:rsidRPr="00AC14AE">
        <w:rPr>
          <w:rFonts w:ascii="Arial" w:eastAsia="Times New Roman" w:hAnsi="Arial" w:cs="Arial"/>
          <w:noProof w:val="0"/>
          <w:color w:val="1D2125"/>
          <w:kern w:val="0"/>
          <w:sz w:val="24"/>
          <w:szCs w:val="24"/>
          <w:lang w:eastAsia="es-CR"/>
          <w14:ligatures w14:val="none"/>
        </w:rPr>
        <w:t xml:space="preserve"> una investigación en el caso en particular.</w:t>
      </w:r>
    </w:p>
    <w:p w14:paraId="198C39E1"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En relación con la </w:t>
      </w:r>
      <w:r w:rsidRPr="00AC14AE">
        <w:rPr>
          <w:rFonts w:ascii="Arial" w:eastAsia="Times New Roman" w:hAnsi="Arial" w:cs="Arial"/>
          <w:noProof w:val="0"/>
          <w:color w:val="333333"/>
          <w:kern w:val="0"/>
          <w:sz w:val="24"/>
          <w:szCs w:val="24"/>
          <w:lang w:eastAsia="es-CR"/>
          <w14:ligatures w14:val="none"/>
        </w:rPr>
        <w:t>Contraloría General</w:t>
      </w:r>
      <w:r w:rsidRPr="00AC14AE">
        <w:rPr>
          <w:rFonts w:ascii="Arial" w:eastAsia="Times New Roman" w:hAnsi="Arial" w:cs="Arial"/>
          <w:noProof w:val="0"/>
          <w:color w:val="1D2125"/>
          <w:kern w:val="0"/>
          <w:sz w:val="24"/>
          <w:szCs w:val="24"/>
          <w:lang w:eastAsia="es-CR"/>
          <w14:ligatures w14:val="none"/>
        </w:rPr>
        <w:t xml:space="preserve">, debe recordarse que, de acuerdo con nuestra Constitución Política (artículo 183), es un órgano auxiliar de la Asamblea Legislativa, que tiene como fin primordial la vigilancia de la Hacienda Pública. Asimismo, mediante el numeral 22 de su Ley Orgánica, se determinó </w:t>
      </w:r>
      <w:proofErr w:type="gramStart"/>
      <w:r w:rsidRPr="00AC14AE">
        <w:rPr>
          <w:rFonts w:ascii="Arial" w:eastAsia="Times New Roman" w:hAnsi="Arial" w:cs="Arial"/>
          <w:noProof w:val="0"/>
          <w:color w:val="1D2125"/>
          <w:kern w:val="0"/>
          <w:sz w:val="24"/>
          <w:szCs w:val="24"/>
          <w:lang w:eastAsia="es-CR"/>
          <w14:ligatures w14:val="none"/>
        </w:rPr>
        <w:t>que</w:t>
      </w:r>
      <w:proofErr w:type="gramEnd"/>
      <w:r w:rsidRPr="00AC14AE">
        <w:rPr>
          <w:rFonts w:ascii="Arial" w:eastAsia="Times New Roman" w:hAnsi="Arial" w:cs="Arial"/>
          <w:noProof w:val="0"/>
          <w:color w:val="1D2125"/>
          <w:kern w:val="0"/>
          <w:sz w:val="24"/>
          <w:szCs w:val="24"/>
          <w:lang w:eastAsia="es-CR"/>
          <w14:ligatures w14:val="none"/>
        </w:rPr>
        <w:t xml:space="preserve"> de oficio, a petición de un sujeto pasivo o de cualquier interesado puede realizar investigaciones especiales.</w:t>
      </w:r>
    </w:p>
    <w:p w14:paraId="33953006"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Así las cosas, la </w:t>
      </w:r>
      <w:r w:rsidRPr="00AC14AE">
        <w:rPr>
          <w:rFonts w:ascii="Arial" w:eastAsia="Times New Roman" w:hAnsi="Arial" w:cs="Arial"/>
          <w:noProof w:val="0"/>
          <w:color w:val="333333"/>
          <w:kern w:val="0"/>
          <w:sz w:val="24"/>
          <w:szCs w:val="24"/>
          <w:lang w:eastAsia="es-CR"/>
          <w14:ligatures w14:val="none"/>
        </w:rPr>
        <w:t>CGR</w:t>
      </w:r>
      <w:r w:rsidRPr="00AC14AE">
        <w:rPr>
          <w:rFonts w:ascii="Arial" w:eastAsia="Times New Roman" w:hAnsi="Arial" w:cs="Arial"/>
          <w:noProof w:val="0"/>
          <w:color w:val="1D2125"/>
          <w:kern w:val="0"/>
          <w:sz w:val="24"/>
          <w:szCs w:val="24"/>
          <w:lang w:eastAsia="es-CR"/>
          <w14:ligatures w14:val="none"/>
        </w:rPr>
        <w:t xml:space="preserve"> puede decidir el inicio de una IP cuando lo estime pertinente, siempre y cuando se refiera a temas relacionados con su competencia constitucional, sea la fiscalización superior de la hacienda pública, </w:t>
      </w:r>
      <w:proofErr w:type="gramStart"/>
      <w:r w:rsidRPr="00AC14AE">
        <w:rPr>
          <w:rFonts w:ascii="Arial" w:eastAsia="Times New Roman" w:hAnsi="Arial" w:cs="Arial"/>
          <w:noProof w:val="0"/>
          <w:color w:val="1D2125"/>
          <w:kern w:val="0"/>
          <w:sz w:val="24"/>
          <w:szCs w:val="24"/>
          <w:lang w:eastAsia="es-CR"/>
          <w14:ligatures w14:val="none"/>
        </w:rPr>
        <w:t>como</w:t>
      </w:r>
      <w:proofErr w:type="gramEnd"/>
      <w:r w:rsidRPr="00AC14AE">
        <w:rPr>
          <w:rFonts w:ascii="Arial" w:eastAsia="Times New Roman" w:hAnsi="Arial" w:cs="Arial"/>
          <w:noProof w:val="0"/>
          <w:color w:val="1D2125"/>
          <w:kern w:val="0"/>
          <w:sz w:val="24"/>
          <w:szCs w:val="24"/>
          <w:lang w:eastAsia="es-CR"/>
          <w14:ligatures w14:val="none"/>
        </w:rPr>
        <w:t xml:space="preserve"> por ejemplo, casos relacionados con corrupción, así como presuntos usos indebidos o afectaciones al patrimonio público.</w:t>
      </w:r>
    </w:p>
    <w:p w14:paraId="7D60345C" w14:textId="77777777" w:rsidR="008F4C5E" w:rsidRPr="00A94309" w:rsidRDefault="008F4C5E" w:rsidP="008F4C5E">
      <w:pPr>
        <w:pStyle w:val="Ttulo3"/>
        <w:shd w:val="clear" w:color="auto" w:fill="FFFFFF"/>
        <w:spacing w:before="0"/>
        <w:rPr>
          <w:rFonts w:ascii="Arial" w:hAnsi="Arial" w:cs="Arial"/>
          <w:noProof w:val="0"/>
          <w:color w:val="1D2125"/>
          <w:sz w:val="24"/>
          <w:szCs w:val="24"/>
        </w:rPr>
      </w:pPr>
      <w:r w:rsidRPr="00A94309">
        <w:rPr>
          <w:rFonts w:ascii="Arial" w:hAnsi="Arial" w:cs="Arial"/>
          <w:color w:val="1D2125"/>
          <w:sz w:val="24"/>
          <w:szCs w:val="24"/>
        </w:rPr>
        <w:t>2. Auditorías Internas</w:t>
      </w:r>
    </w:p>
    <w:p w14:paraId="6EC5B9FC" w14:textId="77777777" w:rsidR="008F4C5E" w:rsidRPr="00AC14AE" w:rsidRDefault="008F4C5E" w:rsidP="008F4C5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Respecto la actuación de las auditorías internas en el inicio y desarrollo de una investigación preliminar, cabe señalar que el numeral 22 de la LGCI faculta a estas unidades de control a realizar estudios especiales, en relación con los fondos públicos sujetos a su competencia institucional y sobre fondos o actividades privadas, de conformidad con lo establecido en la LOCGR.</w:t>
      </w:r>
    </w:p>
    <w:p w14:paraId="327CEF76" w14:textId="77777777" w:rsidR="008F4C5E" w:rsidRPr="00AC14AE" w:rsidRDefault="008F4C5E" w:rsidP="008F4C5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Por su parte, el numeral 8 de la LCCEIFP también reconoce su legitimación para efectuar investigaciones, de cuyos resultados se puedan originar la apertura de un procedimiento administrativo. En estos supuestos, corresponde al jefe de la auditoría interna decidir, de oficio, cuándo inicia una investigación sobre cualquier tema que presuma irregular y que sea de su conocimiento.</w:t>
      </w:r>
    </w:p>
    <w:p w14:paraId="7DFB3F88" w14:textId="77777777" w:rsidR="008F4C5E" w:rsidRPr="00AC14AE" w:rsidRDefault="008F4C5E" w:rsidP="008F4C5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No hay que olvidar que, como subordinada del jerarca institucional, la Auditoría Interna puede, además, ser instruida para realizar la indagación de algún hecho de su interés. Lo anterior, se aclara, conservando la independencia funcional y de criterio que señala el numeral 25 de la LGCI. Asimismo, la Contraloría General de la República, también, le puede requerir que realice una investigación como parte de la atención de una denuncia que sea trasladada para su conocimiento.</w:t>
      </w:r>
    </w:p>
    <w:p w14:paraId="2AC1310E" w14:textId="77777777" w:rsidR="008F4C5E" w:rsidRPr="00AC14AE" w:rsidRDefault="008F4C5E" w:rsidP="008F4C5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Finalmente, es importante tomar en consideración que para el caso específico de las Auditorías Internas, la Contraloría General de la República, emitió, mediante resolución </w:t>
      </w:r>
      <w:proofErr w:type="spellStart"/>
      <w:r w:rsidRPr="00AC14AE">
        <w:rPr>
          <w:rFonts w:ascii="Arial" w:hAnsi="Arial" w:cs="Arial"/>
          <w:color w:val="1D2125"/>
        </w:rPr>
        <w:t>n.°</w:t>
      </w:r>
      <w:proofErr w:type="spellEnd"/>
      <w:r w:rsidRPr="00AC14AE">
        <w:rPr>
          <w:rFonts w:ascii="Arial" w:hAnsi="Arial" w:cs="Arial"/>
          <w:color w:val="1D2125"/>
        </w:rPr>
        <w:t xml:space="preserve"> R-DC-102-2019 de las 13:00 horas del 14 de octubre de 2019, los "Lineamientos Generales para el análisis de presuntos hechos irregulares”, los cuales son de acatamiento obligatorio para las Auditorías Internas del Sector Público y que refieren al ejercicio de sus competencias conferidas por ley para el análisis de presuntos hechos irregulares que puedan ser generadores de responsabilidad, a cargo de los sujetos incluidos en su ámbito de acción.</w:t>
      </w:r>
    </w:p>
    <w:p w14:paraId="5083A83F" w14:textId="77777777" w:rsidR="008F4C5E" w:rsidRPr="00AC14AE" w:rsidRDefault="008F4C5E" w:rsidP="008F4C5E">
      <w:pPr>
        <w:shd w:val="clear" w:color="auto" w:fill="FFFFFF"/>
        <w:spacing w:after="100" w:afterAutospacing="1" w:line="240" w:lineRule="auto"/>
        <w:outlineLvl w:val="2"/>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3. Administración Pública</w:t>
      </w:r>
    </w:p>
    <w:p w14:paraId="65DA61A2"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En relación con las administraciones públicas, específicamente, se debe recordar que todas las instituciones, sin distinción, deben procurar la detección y sanción de todos aquellos actos irregulares que detecten. Al respecto, el artículo 8 de la LCCEIFP incluye a la administración dentro de los sujetos que pueden realizar investigaciones, cuyos resultados puedan originar la apertura de un procedimiento administrativo.</w:t>
      </w:r>
    </w:p>
    <w:p w14:paraId="05E08183"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Debe tomarse en cuenta que, una vez que se ha ordenado el inicio de la IP, esta puede ser realizada por dependencias que dentro de la estructura orgánica tengan asignadas estas funciones, o bien, se puede seleccionar uno o varios funcionarios, a quienes se les comisiona para llevar a cabo el proceso de IP de un caso en particular. Incluso se puede, por la vía de la contratación administrativa, atendiendo la regulación que al respecto establece la Ley de Contratación Administrativa (LCA), obtener los servicios de profesionales </w:t>
      </w:r>
      <w:proofErr w:type="gramStart"/>
      <w:r w:rsidRPr="00AC14AE">
        <w:rPr>
          <w:rFonts w:ascii="Arial" w:eastAsia="Times New Roman" w:hAnsi="Arial" w:cs="Arial"/>
          <w:noProof w:val="0"/>
          <w:color w:val="1D2125"/>
          <w:kern w:val="0"/>
          <w:sz w:val="24"/>
          <w:szCs w:val="24"/>
          <w:lang w:eastAsia="es-CR"/>
          <w14:ligatures w14:val="none"/>
        </w:rPr>
        <w:t>expertos  que</w:t>
      </w:r>
      <w:proofErr w:type="gramEnd"/>
      <w:r w:rsidRPr="00AC14AE">
        <w:rPr>
          <w:rFonts w:ascii="Arial" w:eastAsia="Times New Roman" w:hAnsi="Arial" w:cs="Arial"/>
          <w:noProof w:val="0"/>
          <w:color w:val="1D2125"/>
          <w:kern w:val="0"/>
          <w:sz w:val="24"/>
          <w:szCs w:val="24"/>
          <w:lang w:eastAsia="es-CR"/>
          <w14:ligatures w14:val="none"/>
        </w:rPr>
        <w:t xml:space="preserve"> lleven a cabo esta tarea. Sin embargo, en cualquier supuesto, lo recomendable es que medie un acto administrativo formal y fundamentado donde se designe dicha responsabilidad a los encargados.</w:t>
      </w:r>
    </w:p>
    <w:p w14:paraId="10D52328" w14:textId="77777777" w:rsidR="008F4C5E" w:rsidRPr="00AC14AE" w:rsidRDefault="008F4C5E" w:rsidP="008F4C5E">
      <w:pPr>
        <w:shd w:val="clear" w:color="auto" w:fill="FFFFFF"/>
        <w:spacing w:after="100" w:afterAutospacing="1" w:line="240" w:lineRule="auto"/>
        <w:jc w:val="both"/>
        <w:outlineLvl w:val="2"/>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4. Denunciante</w:t>
      </w:r>
    </w:p>
    <w:p w14:paraId="5BB28195" w14:textId="6B0F9E1B"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FF0000"/>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En relación con la figura del denunciante, en primer término, es de suma importancia tomar en consideración que en virtud de lo establecido mediante los numerales 8 y 10 de la LCCEIFP, así como lo dispuesto en el artículo 6 de la LGCI, se regula expresamente la confidencialidad del denunciante. Confidencialidad que, además, no se encuentra sujeta a ningún límite temporal, pues el ordenamiento busca la promoción de la denuncia como instrumento que impulse la rendición de cuentas y prevención de la corrupción, por lo que resulta fundamental asegurar que se evite cualquier forma de persecución en contra de los denunciantes de buena fe.</w:t>
      </w:r>
      <w:r w:rsidR="004553D6" w:rsidRPr="00AC14AE">
        <w:rPr>
          <w:rFonts w:ascii="Arial" w:eastAsia="Times New Roman" w:hAnsi="Arial" w:cs="Arial"/>
          <w:noProof w:val="0"/>
          <w:color w:val="1D2125"/>
          <w:kern w:val="0"/>
          <w:sz w:val="24"/>
          <w:szCs w:val="24"/>
          <w:lang w:eastAsia="es-CR"/>
          <w14:ligatures w14:val="none"/>
        </w:rPr>
        <w:t xml:space="preserve"> </w:t>
      </w:r>
    </w:p>
    <w:p w14:paraId="6A2218FA" w14:textId="77777777" w:rsidR="008F4C5E" w:rsidRPr="00AC14AE" w:rsidRDefault="008F4C5E" w:rsidP="008F4C5E">
      <w:pPr>
        <w:shd w:val="clear" w:color="auto" w:fill="FFFFFF"/>
        <w:spacing w:after="100" w:afterAutospacing="1"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Sobre el particular, es necesario señalar que este deber legal que ostentan las autoridades ante las que se plantea una denuncia, debe mantenerse independientemente de la forma o circunstancia en que el denunciante plantee su gestión. Sea </w:t>
      </w:r>
      <w:proofErr w:type="gramStart"/>
      <w:r w:rsidRPr="00AC14AE">
        <w:rPr>
          <w:rFonts w:ascii="Arial" w:eastAsia="Times New Roman" w:hAnsi="Arial" w:cs="Arial"/>
          <w:noProof w:val="0"/>
          <w:color w:val="1D2125"/>
          <w:kern w:val="0"/>
          <w:sz w:val="24"/>
          <w:szCs w:val="24"/>
          <w:lang w:eastAsia="es-CR"/>
          <w14:ligatures w14:val="none"/>
        </w:rPr>
        <w:t>que</w:t>
      </w:r>
      <w:proofErr w:type="gramEnd"/>
      <w:r w:rsidRPr="00AC14AE">
        <w:rPr>
          <w:rFonts w:ascii="Arial" w:eastAsia="Times New Roman" w:hAnsi="Arial" w:cs="Arial"/>
          <w:noProof w:val="0"/>
          <w:color w:val="1D2125"/>
          <w:kern w:val="0"/>
          <w:sz w:val="24"/>
          <w:szCs w:val="24"/>
          <w:lang w:eastAsia="es-CR"/>
          <w14:ligatures w14:val="none"/>
        </w:rPr>
        <w:t xml:space="preserve"> si el denunciante ha hecho su gestión de forma pública o, incluso, poniendo en conocimiento a las personas denunciadas, cada administración debe velar porque, en el trámite de la investigación a su cargo, se adopten las medidas pertinentes que hagan efectivo el resguardo de la identidad de la persona denunciante, independientemente de las actuaciones que esta lleve a cabo (Contraloría General de la República,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13834 (DJ-1285). (2018).</w:t>
      </w:r>
    </w:p>
    <w:p w14:paraId="39252595"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Asimismo, debe señalarse que, en principio, por su sola condición, un denunciante no puede considerarse parte de una investigación preliminar. Razón por la cual no se le debe permitir el acceso al expediente que al efecto lleve la administración, con el fin primordial de salvaguardar el mismo proceso de investigación (Sala Constitucional, n.º 15975-2014. (2014)).</w:t>
      </w:r>
    </w:p>
    <w:p w14:paraId="611F9B25" w14:textId="77777777" w:rsidR="008F4C5E" w:rsidRDefault="008F4C5E" w:rsidP="008F4C5E">
      <w:pPr>
        <w:pStyle w:val="Ttulo3"/>
        <w:shd w:val="clear" w:color="auto" w:fill="FFFFFF"/>
        <w:spacing w:before="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A pesar de lo anterior, se aclara que el denunciante guarda el derecho de conocer el estado de la investigación preliminar que se llevó a cabo como consecuencia de su denuncia, así como también tiene derecho a conocer el resultado de la investigación una vez que se culmine esta fase. Se insiste en que, conocer el resultado de la investigación preliminar, no significa tener acceso </w:t>
      </w:r>
      <w:proofErr w:type="gramStart"/>
      <w:r w:rsidRPr="00AC14AE">
        <w:rPr>
          <w:rFonts w:ascii="Arial" w:eastAsia="Times New Roman" w:hAnsi="Arial" w:cs="Arial"/>
          <w:noProof w:val="0"/>
          <w:color w:val="1D2125"/>
          <w:kern w:val="0"/>
          <w:sz w:val="24"/>
          <w:szCs w:val="24"/>
          <w:lang w:eastAsia="es-CR"/>
          <w14:ligatures w14:val="none"/>
        </w:rPr>
        <w:t>al  expediente</w:t>
      </w:r>
      <w:proofErr w:type="gramEnd"/>
      <w:r w:rsidRPr="00AC14AE">
        <w:rPr>
          <w:rFonts w:ascii="Arial" w:eastAsia="Times New Roman" w:hAnsi="Arial" w:cs="Arial"/>
          <w:noProof w:val="0"/>
          <w:color w:val="1D2125"/>
          <w:kern w:val="0"/>
          <w:sz w:val="24"/>
          <w:szCs w:val="24"/>
          <w:lang w:eastAsia="es-CR"/>
          <w14:ligatures w14:val="none"/>
        </w:rPr>
        <w:t xml:space="preserve"> de la investigación propiamente, tal y como se desarrollará más adelante en esta lección. (Sala Constitucional, n.º 2375. </w:t>
      </w:r>
    </w:p>
    <w:p w14:paraId="4465D538" w14:textId="77777777" w:rsidR="00563DC0" w:rsidRPr="00563DC0" w:rsidRDefault="00563DC0" w:rsidP="00563DC0">
      <w:pPr>
        <w:rPr>
          <w:lang w:eastAsia="es-CR"/>
        </w:rPr>
      </w:pPr>
    </w:p>
    <w:p w14:paraId="148FC85D" w14:textId="6611AE91" w:rsidR="008F4C5E" w:rsidRPr="00AC14AE" w:rsidRDefault="008F4C5E" w:rsidP="002E27E8">
      <w:pPr>
        <w:pStyle w:val="Ttulo3"/>
        <w:numPr>
          <w:ilvl w:val="0"/>
          <w:numId w:val="10"/>
        </w:numPr>
        <w:shd w:val="clear" w:color="auto" w:fill="FFFFFF"/>
        <w:spacing w:before="0"/>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Investigado</w:t>
      </w:r>
    </w:p>
    <w:p w14:paraId="6B065D2B"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bookmarkStart w:id="3" w:name="_Hlk193891128"/>
      <w:r w:rsidRPr="00AC14AE">
        <w:rPr>
          <w:rFonts w:ascii="Arial" w:eastAsia="Times New Roman" w:hAnsi="Arial" w:cs="Arial"/>
          <w:noProof w:val="0"/>
          <w:color w:val="1D2125"/>
          <w:kern w:val="0"/>
          <w:sz w:val="24"/>
          <w:szCs w:val="24"/>
          <w:lang w:eastAsia="es-CR"/>
          <w14:ligatures w14:val="none"/>
        </w:rPr>
        <w:t>Finalmente, es necesario hacer una breve referencia a la figura del investigado. Sobre el particular, es importante considerar que, si bien el investigado es aquella persona contra quien se dirige la investigación preliminar, lo cierto es que, en nuestro ordenamiento jurídico, no se le considera, propiamente, como una parte en el desarrollo de la investigación.</w:t>
      </w:r>
    </w:p>
    <w:p w14:paraId="6E311C1A"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Al respecto, los Tribunales de Justicia han sostenido, en general, que el investigado no ostenta derechos dentro del procedimiento de investigación. Bajo esta inteligencia, no se considera lesivo de sus derechos el no ponerlo al tanto de la fase de investigación instaurada en su contra, precisamente, por considerarse una etapa previa al procedimiento administrativo.</w:t>
      </w:r>
    </w:p>
    <w:bookmarkEnd w:id="3"/>
    <w:p w14:paraId="6D0FF76C"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proofErr w:type="gramStart"/>
      <w:r w:rsidRPr="00AC14AE">
        <w:rPr>
          <w:rFonts w:ascii="Arial" w:eastAsia="Times New Roman" w:hAnsi="Arial" w:cs="Arial"/>
          <w:noProof w:val="0"/>
          <w:color w:val="1D2125"/>
          <w:kern w:val="0"/>
          <w:sz w:val="24"/>
          <w:szCs w:val="24"/>
          <w:lang w:eastAsia="es-CR"/>
          <w14:ligatures w14:val="none"/>
        </w:rPr>
        <w:t>En razón de</w:t>
      </w:r>
      <w:proofErr w:type="gramEnd"/>
      <w:r w:rsidRPr="00AC14AE">
        <w:rPr>
          <w:rFonts w:ascii="Arial" w:eastAsia="Times New Roman" w:hAnsi="Arial" w:cs="Arial"/>
          <w:noProof w:val="0"/>
          <w:color w:val="1D2125"/>
          <w:kern w:val="0"/>
          <w:sz w:val="24"/>
          <w:szCs w:val="24"/>
          <w:lang w:eastAsia="es-CR"/>
          <w14:ligatures w14:val="none"/>
        </w:rPr>
        <w:t xml:space="preserve"> lo anterior, salvo algunos casos excepcionales, no es indispensable garantizar el debido proceso ni el derecho de defensa de la persona investigada en esta fase. Pues como regla, estas garantías deben de respetarse en el desarrollo del procedimiento administrativo (Tribunal Contencioso Administrativo, Sección IX, resolución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00401-2013. (2013) y Procuraduría General de la República, dictamen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C-082-2005)).</w:t>
      </w:r>
    </w:p>
    <w:p w14:paraId="1893CC51"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Sin perjuicio de lo anterior, debe considerarse que este tema debe analizarse con detalle en cada caso en particular, lo anterior por cuanto tal y como ha sido señalado por la Sala Constitucional, existirán investigaciones preliminares en que se requiera interactuar de forma directa con la persona investigada, sea que se le solicite algún documento de interés o, incluso, que se requiera realizarle una entrevista en relación con los hechos investigados.</w:t>
      </w:r>
    </w:p>
    <w:p w14:paraId="7912106C"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En estos supuestos, se ha reconocido la posibilidad de que la persona u órgano encargado de la investigación pueda tener comunicación con el denunciado o investigado, siempre y cuando este acercamiento se realice de forma diligente, responsable y razonable (Contraloría General de la República,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7942 (DJ-0583). (2013)). Siendo que, en los casos en que opte por tomar la declaración de alguna persona presuntamente responsable, de forma excepcional deberá respetarse el derecho de defensa de la persona investigada (Sala Constitucional, n.º 7998-2009. (2009) y Contraloría General de la República, </w:t>
      </w:r>
      <w:proofErr w:type="spellStart"/>
      <w:r w:rsidRPr="00AC14AE">
        <w:rPr>
          <w:rFonts w:ascii="Arial" w:eastAsia="Times New Roman" w:hAnsi="Arial" w:cs="Arial"/>
          <w:noProof w:val="0"/>
          <w:color w:val="1D2125"/>
          <w:kern w:val="0"/>
          <w:sz w:val="24"/>
          <w:szCs w:val="24"/>
          <w:lang w:eastAsia="es-CR"/>
          <w14:ligatures w14:val="none"/>
        </w:rPr>
        <w:t>n.°</w:t>
      </w:r>
      <w:proofErr w:type="spellEnd"/>
      <w:r w:rsidRPr="00AC14AE">
        <w:rPr>
          <w:rFonts w:ascii="Arial" w:eastAsia="Times New Roman" w:hAnsi="Arial" w:cs="Arial"/>
          <w:noProof w:val="0"/>
          <w:color w:val="1D2125"/>
          <w:kern w:val="0"/>
          <w:sz w:val="24"/>
          <w:szCs w:val="24"/>
          <w:lang w:eastAsia="es-CR"/>
          <w14:ligatures w14:val="none"/>
        </w:rPr>
        <w:t xml:space="preserve"> 10190 (DJ-1374). (2016)).</w:t>
      </w:r>
    </w:p>
    <w:p w14:paraId="450CE6A3" w14:textId="77777777" w:rsidR="008F4C5E" w:rsidRPr="00AC14AE" w:rsidRDefault="008F4C5E"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Asimismo, el Tribunal Constitucional ha indicado </w:t>
      </w:r>
      <w:proofErr w:type="gramStart"/>
      <w:r w:rsidRPr="00AC14AE">
        <w:rPr>
          <w:rFonts w:ascii="Arial" w:eastAsia="Times New Roman" w:hAnsi="Arial" w:cs="Arial"/>
          <w:noProof w:val="0"/>
          <w:color w:val="1D2125"/>
          <w:kern w:val="0"/>
          <w:sz w:val="24"/>
          <w:szCs w:val="24"/>
          <w:lang w:eastAsia="es-CR"/>
          <w14:ligatures w14:val="none"/>
        </w:rPr>
        <w:t>que</w:t>
      </w:r>
      <w:proofErr w:type="gramEnd"/>
      <w:r w:rsidRPr="00AC14AE">
        <w:rPr>
          <w:rFonts w:ascii="Arial" w:eastAsia="Times New Roman" w:hAnsi="Arial" w:cs="Arial"/>
          <w:noProof w:val="0"/>
          <w:color w:val="1D2125"/>
          <w:kern w:val="0"/>
          <w:sz w:val="24"/>
          <w:szCs w:val="24"/>
          <w:lang w:eastAsia="es-CR"/>
          <w14:ligatures w14:val="none"/>
        </w:rPr>
        <w:t xml:space="preserve"> si en el transcurso de la investigación se van a evacuar pruebas consideradas de naturaleza definitiva e irreproducible, igualmente se requerirá otorgarle la oportunidad de defensa efectiva de la persona investigada (Sala Constitucional, n.º 9125-2013. (2013)). Lo anterior, en virtud de la imposibilidad de reproducir dicha prueba posteriormente, </w:t>
      </w:r>
      <w:proofErr w:type="gramStart"/>
      <w:r w:rsidRPr="00AC14AE">
        <w:rPr>
          <w:rFonts w:ascii="Arial" w:eastAsia="Times New Roman" w:hAnsi="Arial" w:cs="Arial"/>
          <w:noProof w:val="0"/>
          <w:color w:val="1D2125"/>
          <w:kern w:val="0"/>
          <w:sz w:val="24"/>
          <w:szCs w:val="24"/>
          <w:lang w:eastAsia="es-CR"/>
          <w14:ligatures w14:val="none"/>
        </w:rPr>
        <w:t>en caso que</w:t>
      </w:r>
      <w:proofErr w:type="gramEnd"/>
      <w:r w:rsidRPr="00AC14AE">
        <w:rPr>
          <w:rFonts w:ascii="Arial" w:eastAsia="Times New Roman" w:hAnsi="Arial" w:cs="Arial"/>
          <w:noProof w:val="0"/>
          <w:color w:val="1D2125"/>
          <w:kern w:val="0"/>
          <w:sz w:val="24"/>
          <w:szCs w:val="24"/>
          <w:lang w:eastAsia="es-CR"/>
          <w14:ligatures w14:val="none"/>
        </w:rPr>
        <w:t xml:space="preserve"> se proceda con la apertura de un procedimiento administrativo. </w:t>
      </w:r>
    </w:p>
    <w:p w14:paraId="10E7986E" w14:textId="77777777" w:rsidR="00AC2C3A" w:rsidRDefault="00AC2C3A" w:rsidP="00712801">
      <w:pPr>
        <w:spacing w:after="100" w:afterAutospacing="1" w:line="240" w:lineRule="auto"/>
        <w:outlineLvl w:val="1"/>
        <w:rPr>
          <w:rFonts w:ascii="Arial" w:eastAsia="Times New Roman" w:hAnsi="Arial" w:cs="Arial"/>
          <w:noProof w:val="0"/>
          <w:color w:val="1D2125"/>
          <w:kern w:val="0"/>
          <w:sz w:val="24"/>
          <w:szCs w:val="24"/>
          <w:lang w:eastAsia="es-CR"/>
          <w14:ligatures w14:val="none"/>
        </w:rPr>
      </w:pPr>
    </w:p>
    <w:p w14:paraId="7316417A" w14:textId="77777777" w:rsidR="00AC2C3A" w:rsidRDefault="00AC2C3A" w:rsidP="00712801">
      <w:pPr>
        <w:spacing w:after="100" w:afterAutospacing="1" w:line="240" w:lineRule="auto"/>
        <w:outlineLvl w:val="1"/>
        <w:rPr>
          <w:rFonts w:ascii="Arial" w:eastAsia="Times New Roman" w:hAnsi="Arial" w:cs="Arial"/>
          <w:noProof w:val="0"/>
          <w:color w:val="1D2125"/>
          <w:kern w:val="0"/>
          <w:sz w:val="24"/>
          <w:szCs w:val="24"/>
          <w:lang w:eastAsia="es-CR"/>
          <w14:ligatures w14:val="none"/>
        </w:rPr>
      </w:pPr>
    </w:p>
    <w:p w14:paraId="78810EB2" w14:textId="1FCF69B0" w:rsidR="00712801" w:rsidRPr="00AC14AE" w:rsidRDefault="00712801" w:rsidP="00712801">
      <w:pPr>
        <w:spacing w:after="100" w:afterAutospacing="1" w:line="240" w:lineRule="auto"/>
        <w:outlineLvl w:val="1"/>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Tópico n.º 3: El proceso de investigación</w:t>
      </w:r>
    </w:p>
    <w:p w14:paraId="3AAEC495" w14:textId="77777777" w:rsidR="002105DE" w:rsidRPr="00AC14AE" w:rsidRDefault="002105DE" w:rsidP="002105DE">
      <w:pPr>
        <w:shd w:val="clear" w:color="auto" w:fill="FFFFFF"/>
        <w:spacing w:after="100" w:afterAutospacing="1" w:line="240" w:lineRule="auto"/>
        <w:jc w:val="both"/>
        <w:outlineLvl w:val="2"/>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1. La Denuncia</w:t>
      </w:r>
    </w:p>
    <w:p w14:paraId="5DB856BA"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denuncia es una manifestación escrita y excepcionalmente verbal, que se hace ante un órgano competente de uno o varios hechos presuntamente constitutivos de una infracción de naturaleza penal o administrativa con el fin de que éste los investigue.</w:t>
      </w:r>
    </w:p>
    <w:p w14:paraId="03E40C2B"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Sala Constitucional de la Corte Suprema de Justicia se ha referido a la denuncia en los siguientes términos:</w:t>
      </w:r>
    </w:p>
    <w:p w14:paraId="5EB384FE"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Esta Sala ha reconocido la denuncia, como instituto jurídico utilizado por los administrados para poner en conocimiento de la Administración, hechos que el denunciante estima irregulares, ilegales o contrarios al orden público, con el objeto de instar en los órganos públicos, el ejercicio de las competencias depositadas por voluntad popular en ellos para investigar y resolver lo pertinente, y que deviene en un modo de participación en asuntos que conciernen al interés público, perfectamente compatible, y, de hecho, fundamentado en el principio democrático, se ubica al igual que las peticiones de información, los reclamos administrativos y las solicitudes de otorgamiento de ciertos derechos, dentro del concepto genérico de petición establecido en el artículo 27 constitucional, con su correlativo derecho de obtener respuesta como complemento del ejercicio del derecho de pedir, si el denunciante así lo ha solicitado (...)”. Sala Constitucional n.º 00082-2000. (2000).</w:t>
      </w:r>
    </w:p>
    <w:p w14:paraId="2801E708"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En igual sentido, ha señalado que las denuncias “(...) son medios utilizados por los administrados para poner en conocimiento de la Administración, hechos que el denunciante estima irregulares o ilegales, con el objeto de instar el ejercicio de competencias normalmente disciplinarias o sancionatorias, depositadas en los órganos públicos. En ocasiones, la denuncia configura incluso un deber para quien dada su función o su actividad tiene conocimiento de esos hechos, pero en otros casos es más bien un modo de participación en asuntos que conciernen al interés público, perfectamente compatible, y, de hecho, fundamentado en el principio democrático (...)”.  Sala </w:t>
      </w:r>
      <w:proofErr w:type="gramStart"/>
      <w:r w:rsidRPr="00AC14AE">
        <w:rPr>
          <w:rFonts w:ascii="Arial" w:eastAsia="Times New Roman" w:hAnsi="Arial" w:cs="Arial"/>
          <w:noProof w:val="0"/>
          <w:color w:val="1D2125"/>
          <w:kern w:val="0"/>
          <w:sz w:val="24"/>
          <w:szCs w:val="24"/>
          <w:lang w:eastAsia="es-CR"/>
          <w14:ligatures w14:val="none"/>
        </w:rPr>
        <w:t>Constitucional  n.º</w:t>
      </w:r>
      <w:proofErr w:type="gramEnd"/>
      <w:r w:rsidRPr="00AC14AE">
        <w:rPr>
          <w:rFonts w:ascii="Arial" w:eastAsia="Times New Roman" w:hAnsi="Arial" w:cs="Arial"/>
          <w:noProof w:val="0"/>
          <w:color w:val="1D2125"/>
          <w:kern w:val="0"/>
          <w:sz w:val="24"/>
          <w:szCs w:val="24"/>
          <w:lang w:eastAsia="es-CR"/>
          <w14:ligatures w14:val="none"/>
        </w:rPr>
        <w:t xml:space="preserve"> 15271-2007. (2007).</w:t>
      </w:r>
    </w:p>
    <w:p w14:paraId="6C08E0D1"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Por su parte, la CGR ha señalado que las denuncias “(...) tienen una doble funcionalidad, pues además de permitir el escrutinio público de las actuaciones u omisiones de las personas que se desempeñen como servidores públicos, constituyen auténticos insumos al ejercicio de las labores y atribuciones que les han sido encargadas a aquellas (...)”. Contraloría General de la República n.º 3937 (DAGJ-804). (2004).</w:t>
      </w:r>
    </w:p>
    <w:p w14:paraId="2BA593A2"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Es importante señalar que además de los esfuerzos que ha desarrollado Costa Rica como país, éste también ha asumido compromisos internacionales a nivel de prevención y lucha contra la corrupción y ha suscrito la Convención de las Naciones Unidas contra la Corrupción (2004, 29 de noviembre), la cual establece el deber de cada Estado de adoptar las medidas apropiadas para garantizar que el público tenga conocimiento de los órganos pertinentes de lucha contra la corrupción y de facilitar el acceso a éstos cuando proceda la formulación de una denuncia -incluso anónima- de cualquier incidente que pueda considerarse constitutivo de un delito (artículo 2 de la Convención).</w:t>
      </w:r>
    </w:p>
    <w:p w14:paraId="0A1D824D"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No debe olvidarse que existe un derecho de los ciudadanos para denunciar presuntos actos de corrupción (artículo 8 del Reglamento a la LCCEIFP) así como un deber para los funcionarios públicos de denunciar los actos de los que tengan conocimiento se produzcan en la función pública (artículos 9 del Reglamento a la LCCEIFP en concordancia con el numeral 281 del Código Procesal Penal, en adelante CPP).</w:t>
      </w:r>
    </w:p>
    <w:p w14:paraId="291C6C49" w14:textId="77777777" w:rsidR="002105DE" w:rsidRPr="00AC14AE" w:rsidRDefault="002105DE" w:rsidP="002105DE">
      <w:pPr>
        <w:pStyle w:val="Ttulo3"/>
        <w:shd w:val="clear" w:color="auto" w:fill="FFFFFF"/>
        <w:spacing w:before="0"/>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1.1. Formalidades y medios para plantear una denuncia</w:t>
      </w:r>
    </w:p>
    <w:p w14:paraId="4272FBB8"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Formalmente, la denuncia debe describir los hechos irregulares en forma clara, precisa y completa y debe tener el detalle suficiente que permita realizar una adecuada valoración y posterior investigación. La información que se </w:t>
      </w:r>
      <w:proofErr w:type="gramStart"/>
      <w:r w:rsidRPr="00AC14AE">
        <w:rPr>
          <w:rFonts w:ascii="Arial" w:eastAsia="Times New Roman" w:hAnsi="Arial" w:cs="Arial"/>
          <w:noProof w:val="0"/>
          <w:color w:val="1D2125"/>
          <w:kern w:val="0"/>
          <w:sz w:val="24"/>
          <w:szCs w:val="24"/>
          <w:lang w:eastAsia="es-CR"/>
          <w14:ligatures w14:val="none"/>
        </w:rPr>
        <w:t>suministre,</w:t>
      </w:r>
      <w:proofErr w:type="gramEnd"/>
      <w:r w:rsidRPr="00AC14AE">
        <w:rPr>
          <w:rFonts w:ascii="Arial" w:eastAsia="Times New Roman" w:hAnsi="Arial" w:cs="Arial"/>
          <w:noProof w:val="0"/>
          <w:color w:val="1D2125"/>
          <w:kern w:val="0"/>
          <w:sz w:val="24"/>
          <w:szCs w:val="24"/>
          <w:lang w:eastAsia="es-CR"/>
          <w14:ligatures w14:val="none"/>
        </w:rPr>
        <w:t xml:space="preserve"> constituye un aspecto fundamental para la atención de </w:t>
      </w:r>
      <w:proofErr w:type="gramStart"/>
      <w:r w:rsidRPr="00AC14AE">
        <w:rPr>
          <w:rFonts w:ascii="Arial" w:eastAsia="Times New Roman" w:hAnsi="Arial" w:cs="Arial"/>
          <w:noProof w:val="0"/>
          <w:color w:val="1D2125"/>
          <w:kern w:val="0"/>
          <w:sz w:val="24"/>
          <w:szCs w:val="24"/>
          <w:lang w:eastAsia="es-CR"/>
          <w14:ligatures w14:val="none"/>
        </w:rPr>
        <w:t>la misma</w:t>
      </w:r>
      <w:proofErr w:type="gramEnd"/>
      <w:r w:rsidRPr="00AC14AE">
        <w:rPr>
          <w:rFonts w:ascii="Arial" w:eastAsia="Times New Roman" w:hAnsi="Arial" w:cs="Arial"/>
          <w:noProof w:val="0"/>
          <w:color w:val="1D2125"/>
          <w:kern w:val="0"/>
          <w:sz w:val="24"/>
          <w:szCs w:val="24"/>
          <w:lang w:eastAsia="es-CR"/>
          <w14:ligatures w14:val="none"/>
        </w:rPr>
        <w:t>.</w:t>
      </w:r>
    </w:p>
    <w:p w14:paraId="502F9B75" w14:textId="77777777" w:rsidR="002105DE" w:rsidRPr="00AC14AE" w:rsidRDefault="002105DE" w:rsidP="002105D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Los hechos descritos deberán responder a las preguntas: 1. ¿Qué sucedió?, 2. ¿Quién es el responsable?, 3. ¿Cómo sucedió?, 4. ¿Dónde sucedió?, 5. ¿Por qué sucedió? y para ello resulta importante incluir aspectos como: Nombres, circunstancias, lugares, fechas, pretensión en relación con el hecho denunciado, estimación de un eventual perjuicio económico y las pruebas (documentales, testigos u otras).</w:t>
      </w:r>
    </w:p>
    <w:p w14:paraId="36AF273D" w14:textId="7D4D577A" w:rsidR="00712801" w:rsidRPr="00AC14AE" w:rsidRDefault="00434757" w:rsidP="008F4C5E">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hAnsi="Arial" w:cs="Arial"/>
          <w:sz w:val="24"/>
          <w:szCs w:val="24"/>
        </w:rPr>
        <w:drawing>
          <wp:inline distT="0" distB="0" distL="0" distR="0" wp14:anchorId="064CC7D8" wp14:editId="0766FEF6">
            <wp:extent cx="5612130" cy="4638040"/>
            <wp:effectExtent l="0" t="0" r="7620" b="0"/>
            <wp:docPr id="1337700954" name="Imagen 10"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7700954" name="Imagen 10" descr="Interfaz de usuario gráfica, Aplicación&#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12130" cy="4638040"/>
                    </a:xfrm>
                    <a:prstGeom prst="rect">
                      <a:avLst/>
                    </a:prstGeom>
                    <a:noFill/>
                    <a:ln>
                      <a:noFill/>
                    </a:ln>
                  </pic:spPr>
                </pic:pic>
              </a:graphicData>
            </a:graphic>
          </wp:inline>
        </w:drawing>
      </w:r>
    </w:p>
    <w:p w14:paraId="1D819A2B" w14:textId="77777777" w:rsidR="00662A98" w:rsidRPr="00AC14AE" w:rsidRDefault="00662A98" w:rsidP="00662A9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La modernidad ha propiciado que muchas instituciones tengan en sus sitios web la posibilidad de plantear denuncias de manera electrónica, por lo que existen medios de fácil acceso a la ciudadanía para poner en conocimiento de la Administración Pública hechos irregulares.</w:t>
      </w:r>
    </w:p>
    <w:p w14:paraId="100426FC" w14:textId="77777777" w:rsidR="00662A98" w:rsidRPr="00AC14AE" w:rsidRDefault="00662A98" w:rsidP="00662A98">
      <w:pPr>
        <w:pStyle w:val="Ttulo3"/>
        <w:shd w:val="clear" w:color="auto" w:fill="FFFFFF"/>
        <w:spacing w:before="0"/>
        <w:jc w:val="both"/>
        <w:rPr>
          <w:rFonts w:ascii="Arial" w:eastAsia="Times New Roman" w:hAnsi="Arial" w:cs="Arial"/>
          <w:noProof w:val="0"/>
          <w:color w:val="1D2125"/>
          <w:kern w:val="0"/>
          <w:sz w:val="24"/>
          <w:szCs w:val="24"/>
          <w:lang w:eastAsia="es-CR"/>
          <w14:ligatures w14:val="none"/>
        </w:rPr>
      </w:pPr>
      <w:r w:rsidRPr="00AC14AE">
        <w:rPr>
          <w:rFonts w:ascii="Arial" w:hAnsi="Arial" w:cs="Arial"/>
          <w:color w:val="1D2125"/>
          <w:sz w:val="24"/>
          <w:szCs w:val="24"/>
        </w:rPr>
        <w:t> </w:t>
      </w:r>
      <w:r w:rsidRPr="00AC14AE">
        <w:rPr>
          <w:rFonts w:ascii="Arial" w:eastAsia="Times New Roman" w:hAnsi="Arial" w:cs="Arial"/>
          <w:noProof w:val="0"/>
          <w:color w:val="1D2125"/>
          <w:kern w:val="0"/>
          <w:sz w:val="24"/>
          <w:szCs w:val="24"/>
          <w:lang w:eastAsia="es-CR"/>
          <w14:ligatures w14:val="none"/>
        </w:rPr>
        <w:t>.2. Admisibilidad y análisis de la denuncia</w:t>
      </w:r>
    </w:p>
    <w:p w14:paraId="0A585057"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admisibilidad es una fase previa en donde la Administración analiza el cumplimiento de algunos aspectos esenciales en la denuncia a fin de determinar si es dable que ésta propicie o no el inicio de una Investigación Preliminar, pudiendo generar dos resultados, la admisión de la denuncia o su rechazo.</w:t>
      </w:r>
    </w:p>
    <w:p w14:paraId="790ED552"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Si bien la Ley establece normas generales relativas a la admisibilidad de las denuncias, cada Administración tiene la potestad de crear su propia regulación en relación con el tratamiento de las </w:t>
      </w:r>
      <w:proofErr w:type="gramStart"/>
      <w:r w:rsidRPr="00AC14AE">
        <w:rPr>
          <w:rFonts w:ascii="Arial" w:eastAsia="Times New Roman" w:hAnsi="Arial" w:cs="Arial"/>
          <w:noProof w:val="0"/>
          <w:color w:val="1D2125"/>
          <w:kern w:val="0"/>
          <w:sz w:val="24"/>
          <w:szCs w:val="24"/>
          <w:lang w:eastAsia="es-CR"/>
          <w14:ligatures w14:val="none"/>
        </w:rPr>
        <w:t>denuncias</w:t>
      </w:r>
      <w:proofErr w:type="gramEnd"/>
      <w:r w:rsidRPr="00AC14AE">
        <w:rPr>
          <w:rFonts w:ascii="Arial" w:eastAsia="Times New Roman" w:hAnsi="Arial" w:cs="Arial"/>
          <w:noProof w:val="0"/>
          <w:color w:val="1D2125"/>
          <w:kern w:val="0"/>
          <w:sz w:val="24"/>
          <w:szCs w:val="24"/>
          <w:lang w:eastAsia="es-CR"/>
          <w14:ligatures w14:val="none"/>
        </w:rPr>
        <w:t xml:space="preserve"> así como de su fase de admisibilidad.</w:t>
      </w:r>
    </w:p>
    <w:p w14:paraId="491AA213"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Esta fase comienza propiamente con la recepción de la denuncia y según el artículo 11 del </w:t>
      </w:r>
      <w:r w:rsidRPr="00AC14AE">
        <w:rPr>
          <w:rFonts w:ascii="Arial" w:eastAsia="Times New Roman" w:hAnsi="Arial" w:cs="Arial"/>
          <w:noProof w:val="0"/>
          <w:color w:val="1D2125"/>
          <w:kern w:val="0"/>
          <w:sz w:val="24"/>
          <w:szCs w:val="24"/>
          <w:shd w:val="clear" w:color="auto" w:fill="FFFFFF"/>
          <w:lang w:eastAsia="es-CR"/>
          <w14:ligatures w14:val="none"/>
        </w:rPr>
        <w:t>RLCCEIFP</w:t>
      </w:r>
      <w:r w:rsidRPr="00AC14AE">
        <w:rPr>
          <w:rFonts w:ascii="Arial" w:eastAsia="Times New Roman" w:hAnsi="Arial" w:cs="Arial"/>
          <w:noProof w:val="0"/>
          <w:color w:val="1D2125"/>
          <w:kern w:val="0"/>
          <w:sz w:val="24"/>
          <w:szCs w:val="24"/>
          <w:lang w:eastAsia="es-CR"/>
          <w14:ligatures w14:val="none"/>
        </w:rPr>
        <w:t>:</w:t>
      </w:r>
    </w:p>
    <w:p w14:paraId="1DC89356"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1. Debe ser registrada de manera que facilite su identificación y gestión.</w:t>
      </w:r>
    </w:p>
    <w:p w14:paraId="32C91B51"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2. El órgano que recibe la denuncia debe valorar su admisibilidad en un plazo razonable y emitir un acto motivado donde indique los elementos valorados para resolver si la gestión se rechaza o se admite.</w:t>
      </w:r>
    </w:p>
    <w:p w14:paraId="6829BA6E"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3. Comunicar al denunciante sobre la admisibilidad o rechazo y correspondiente archivo de su denuncia.</w:t>
      </w:r>
    </w:p>
    <w:p w14:paraId="23E1FD28"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kern w:val="0"/>
          <w:sz w:val="24"/>
          <w:szCs w:val="24"/>
          <w:lang w:eastAsia="es-CR"/>
          <w14:ligatures w14:val="none"/>
        </w:rPr>
        <w:t xml:space="preserve">Para que las denuncias sean admitidas deben presentarse de forma escrita y por cualquier medio, solo de forma excepcional, se podrán aceptar aquellas que se presenten verbalmente; de igual manera, aquellas denuncias anónimas, es decir, en los casos en los que el denunciante no se identifica ni señala un medio para ser notificado, serán rechazadas, y únicamente en casos excepcionales, cuando, </w:t>
      </w:r>
      <w:r w:rsidRPr="00AC14AE">
        <w:rPr>
          <w:rFonts w:ascii="Arial" w:eastAsia="Times New Roman" w:hAnsi="Arial" w:cs="Arial"/>
          <w:noProof w:val="0"/>
          <w:color w:val="1D2125"/>
          <w:kern w:val="0"/>
          <w:sz w:val="24"/>
          <w:szCs w:val="24"/>
          <w:lang w:eastAsia="es-CR"/>
          <w14:ligatures w14:val="none"/>
        </w:rPr>
        <w:t>con ésta se reciban elementos de prueba que den mérito para la investigación, podrá iniciarse de oficio con base en ellas, esto conforme a los artículos 12 y 13 del citado Reglamento.</w:t>
      </w:r>
    </w:p>
    <w:p w14:paraId="2FB9B04A"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El artículo 16 del RLCCEIFP también establece que el contenido de la denuncia debe ser detallado y preciso, de manera que brinde los elementos necesarios para permitir el inicio de una investigación. Si el contenido no cumple con estos parámetros o que los hechos sean imprecisos, se deberá otorgar un plazo de 10 días hábiles al denunciante para que la complete y fundamente; en caso de no atenderse ese requerimiento, procede el archivo inmediato de la denuncia, aunque subsiste el derecho del denunciante de volver a presentarla con mayores elementos.</w:t>
      </w:r>
    </w:p>
    <w:p w14:paraId="01ACC8AD" w14:textId="77777777" w:rsidR="00662A98" w:rsidRPr="00AC14AE" w:rsidRDefault="00662A98" w:rsidP="00662A98">
      <w:pPr>
        <w:shd w:val="clear" w:color="auto" w:fill="FFFFFF"/>
        <w:spacing w:after="100" w:afterAutospacing="1" w:line="240" w:lineRule="auto"/>
        <w:outlineLvl w:val="2"/>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.3. Causas de rechazo</w:t>
      </w:r>
    </w:p>
    <w:p w14:paraId="5C9B3464" w14:textId="77777777" w:rsidR="00662A98" w:rsidRPr="00AC14AE" w:rsidRDefault="00662A98" w:rsidP="00662A98">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El Reglamento de repetida cita establece en el artículo 17 un listado de supuestos de rechazo de denuncias en cualquier momento, incluso desde su presentación:</w:t>
      </w:r>
    </w:p>
    <w:p w14:paraId="4935CC3A"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a) Las denuncias que no sean de la competencia del órgano ante el cual fueron presentadas, en cuyo caso deberán canalizarlas a las instancias competentes.</w:t>
      </w:r>
    </w:p>
    <w:p w14:paraId="2FE8AD21"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b) Las denuncias que sean manifiestamente improcedentes o infundadas.</w:t>
      </w:r>
    </w:p>
    <w:p w14:paraId="0C469F96"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c) Las denuncias reiterativas sobre aspectos que hayan sido atendidos, en cuyo caso se comunicará al interesado lo ya resuelto.</w:t>
      </w:r>
    </w:p>
    <w:p w14:paraId="0C64F3BE"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d) Las denuncias que se refieran únicamente a intereses particulares del ciudadano, con relación a conductas u omisiones de la Administración que les resulten lesivas de alguna forma y para cuya solución exista un procedimiento específico contemplado en el ordenamiento jurídico vigente.</w:t>
      </w:r>
    </w:p>
    <w:p w14:paraId="17E786FC" w14:textId="77777777" w:rsidR="00662A98" w:rsidRPr="00AC14AE" w:rsidRDefault="00662A98" w:rsidP="00662A98">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e) Las gestiones </w:t>
      </w:r>
      <w:proofErr w:type="gramStart"/>
      <w:r w:rsidRPr="00AC14AE">
        <w:rPr>
          <w:rFonts w:ascii="Arial" w:eastAsia="Times New Roman" w:hAnsi="Arial" w:cs="Arial"/>
          <w:noProof w:val="0"/>
          <w:color w:val="1D2125"/>
          <w:kern w:val="0"/>
          <w:sz w:val="24"/>
          <w:szCs w:val="24"/>
          <w:lang w:eastAsia="es-CR"/>
          <w14:ligatures w14:val="none"/>
        </w:rPr>
        <w:t>que</w:t>
      </w:r>
      <w:proofErr w:type="gramEnd"/>
      <w:r w:rsidRPr="00AC14AE">
        <w:rPr>
          <w:rFonts w:ascii="Arial" w:eastAsia="Times New Roman" w:hAnsi="Arial" w:cs="Arial"/>
          <w:noProof w:val="0"/>
          <w:color w:val="1D2125"/>
          <w:kern w:val="0"/>
          <w:sz w:val="24"/>
          <w:szCs w:val="24"/>
          <w:lang w:eastAsia="es-CR"/>
          <w14:ligatures w14:val="none"/>
        </w:rPr>
        <w:t xml:space="preserve"> bajo el formato de denuncia, sean presentadas con la única finalidad de ejercer la defensa personal sobre situaciones cuya discusión corresponda a otras sedes, ya sean administrativas o judiciales.</w:t>
      </w:r>
    </w:p>
    <w:p w14:paraId="71A4C4BD" w14:textId="77777777" w:rsidR="00224F1C" w:rsidRPr="00AC14AE" w:rsidRDefault="00224F1C" w:rsidP="00224F1C">
      <w:pPr>
        <w:pStyle w:val="Ttulo3"/>
        <w:shd w:val="clear" w:color="auto" w:fill="FFFFFF"/>
        <w:spacing w:before="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1.4. Traslado de la denuncia</w:t>
      </w:r>
    </w:p>
    <w:p w14:paraId="591C73FB" w14:textId="77777777" w:rsidR="00224F1C" w:rsidRPr="00AC14AE" w:rsidRDefault="00224F1C" w:rsidP="00224F1C">
      <w:pPr>
        <w:pStyle w:val="Ttulo3"/>
        <w:spacing w:before="0"/>
        <w:jc w:val="both"/>
        <w:rPr>
          <w:rFonts w:ascii="Arial" w:eastAsia="Times New Roman" w:hAnsi="Arial" w:cs="Arial"/>
          <w:noProof w:val="0"/>
          <w:color w:val="auto"/>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Como se establece en el inciso a) del numeral 17 del RLCCEIFP, en aquellos supuestos en los cuales se rechace la denuncia por falta de competencia del órgano ante el cual se presentó, se debe valorar si existe alguna otra instancia con competencia para tramitarla, debiendo efectuar el traslado correspondiente; esta disposición es concordante con lo dispuesto en la </w:t>
      </w:r>
      <w:r w:rsidRPr="00AC14AE">
        <w:rPr>
          <w:rFonts w:ascii="Arial" w:eastAsia="Times New Roman" w:hAnsi="Arial" w:cs="Arial"/>
          <w:noProof w:val="0"/>
          <w:color w:val="333333"/>
          <w:kern w:val="0"/>
          <w:sz w:val="24"/>
          <w:szCs w:val="24"/>
          <w:lang w:eastAsia="es-CR"/>
          <w14:ligatures w14:val="none"/>
        </w:rPr>
        <w:t>Ley de protección al ciudadano del exceso de requisitos y trámites ad</w:t>
      </w:r>
      <w:r w:rsidRPr="00AC14AE">
        <w:rPr>
          <w:rFonts w:ascii="Arial" w:eastAsia="Times New Roman" w:hAnsi="Arial" w:cs="Arial"/>
          <w:noProof w:val="0"/>
          <w:color w:val="auto"/>
          <w:kern w:val="0"/>
          <w:sz w:val="24"/>
          <w:szCs w:val="24"/>
          <w:lang w:eastAsia="es-CR"/>
          <w14:ligatures w14:val="none"/>
        </w:rPr>
        <w:t xml:space="preserve">2. </w:t>
      </w:r>
    </w:p>
    <w:p w14:paraId="1FF5E509" w14:textId="77777777" w:rsidR="0010124F" w:rsidRPr="00AC14AE" w:rsidRDefault="0010124F" w:rsidP="00224F1C">
      <w:pPr>
        <w:pStyle w:val="Ttulo3"/>
        <w:spacing w:before="0"/>
        <w:jc w:val="both"/>
        <w:rPr>
          <w:rFonts w:ascii="Arial" w:eastAsia="Times New Roman" w:hAnsi="Arial" w:cs="Arial"/>
          <w:noProof w:val="0"/>
          <w:color w:val="auto"/>
          <w:kern w:val="0"/>
          <w:sz w:val="24"/>
          <w:szCs w:val="24"/>
          <w:lang w:eastAsia="es-CR"/>
          <w14:ligatures w14:val="none"/>
        </w:rPr>
      </w:pPr>
    </w:p>
    <w:p w14:paraId="339A3EA0" w14:textId="1213E2F1" w:rsidR="00224F1C" w:rsidRPr="00AC14AE" w:rsidRDefault="00224F1C" w:rsidP="00224F1C">
      <w:pPr>
        <w:pStyle w:val="Ttulo3"/>
        <w:spacing w:before="0"/>
        <w:jc w:val="both"/>
        <w:rPr>
          <w:rFonts w:ascii="Arial" w:eastAsia="Times New Roman" w:hAnsi="Arial" w:cs="Arial"/>
          <w:noProof w:val="0"/>
          <w:color w:val="auto"/>
          <w:kern w:val="0"/>
          <w:sz w:val="24"/>
          <w:szCs w:val="24"/>
          <w:lang w:eastAsia="es-CR"/>
          <w14:ligatures w14:val="none"/>
        </w:rPr>
      </w:pPr>
      <w:r w:rsidRPr="00AC14AE">
        <w:rPr>
          <w:rFonts w:ascii="Arial" w:eastAsia="Times New Roman" w:hAnsi="Arial" w:cs="Arial"/>
          <w:noProof w:val="0"/>
          <w:color w:val="auto"/>
          <w:kern w:val="0"/>
          <w:sz w:val="24"/>
          <w:szCs w:val="24"/>
          <w:lang w:eastAsia="es-CR"/>
          <w14:ligatures w14:val="none"/>
        </w:rPr>
        <w:t>Etapas del Proceso de Investigación preliminar</w:t>
      </w:r>
    </w:p>
    <w:p w14:paraId="3F613CD1" w14:textId="77777777" w:rsidR="00224F1C" w:rsidRPr="00AC14AE" w:rsidRDefault="00224F1C" w:rsidP="00224F1C">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En el tanto no existe un procedimiento general formalmente establecido para realizar una </w:t>
      </w:r>
      <w:r w:rsidRPr="00AC14AE">
        <w:rPr>
          <w:rFonts w:ascii="Arial" w:eastAsia="Times New Roman" w:hAnsi="Arial" w:cs="Arial"/>
          <w:noProof w:val="0"/>
          <w:color w:val="333333"/>
          <w:kern w:val="0"/>
          <w:sz w:val="24"/>
          <w:szCs w:val="24"/>
          <w:lang w:eastAsia="es-CR"/>
          <w14:ligatures w14:val="none"/>
        </w:rPr>
        <w:t>IP</w:t>
      </w:r>
      <w:r w:rsidRPr="00AC14AE">
        <w:rPr>
          <w:rFonts w:ascii="Arial" w:eastAsia="Times New Roman" w:hAnsi="Arial" w:cs="Arial"/>
          <w:noProof w:val="0"/>
          <w:color w:val="1D2125"/>
          <w:kern w:val="0"/>
          <w:sz w:val="24"/>
          <w:szCs w:val="24"/>
          <w:lang w:eastAsia="es-CR"/>
          <w14:ligatures w14:val="none"/>
        </w:rPr>
        <w:t>, lo usual es que cada administración aplique las acciones que crea convenientes para llevar a cabo esta tarea.</w:t>
      </w:r>
    </w:p>
    <w:p w14:paraId="1066FCB7" w14:textId="77777777" w:rsidR="00224F1C" w:rsidRPr="00AC14AE" w:rsidRDefault="00224F1C" w:rsidP="00224F1C">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w:t>
      </w:r>
      <w:r w:rsidRPr="00AC14AE">
        <w:rPr>
          <w:rFonts w:ascii="Arial" w:eastAsia="Times New Roman" w:hAnsi="Arial" w:cs="Arial"/>
          <w:noProof w:val="0"/>
          <w:color w:val="333333"/>
          <w:kern w:val="0"/>
          <w:sz w:val="24"/>
          <w:szCs w:val="24"/>
          <w:lang w:eastAsia="es-CR"/>
          <w14:ligatures w14:val="none"/>
        </w:rPr>
        <w:t>CGR</w:t>
      </w:r>
      <w:r w:rsidRPr="00AC14AE">
        <w:rPr>
          <w:rFonts w:ascii="Arial" w:eastAsia="Times New Roman" w:hAnsi="Arial" w:cs="Arial"/>
          <w:noProof w:val="0"/>
          <w:color w:val="1D2125"/>
          <w:kern w:val="0"/>
          <w:sz w:val="24"/>
          <w:szCs w:val="24"/>
          <w:lang w:eastAsia="es-CR"/>
          <w14:ligatures w14:val="none"/>
        </w:rPr>
        <w:t>, a partir de la experiencia que ha acumulado en la ejecución de investigaciones a los sujetos pasivos de su competencia, propone un proceso ordenado de varias etapas lógicas para efectuar las Investigaciones Preliminares.</w:t>
      </w:r>
    </w:p>
    <w:p w14:paraId="59F9A357" w14:textId="77777777" w:rsidR="00224F1C" w:rsidRPr="00AC14AE" w:rsidRDefault="00224F1C" w:rsidP="00224F1C">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Ahora bien, específicamente para el caso de las auditorías internas debemos advertir que el Órgano Contralor estableció en el Transitorio I de las Normas generales de auditoría para el sector público (2014) que: “(...) Hasta tanto se emitan lineamientos específicos para el desarrollo de las investigaciones de hechos irregulares que podrían generar algún tipo de responsabilidad deberá utilizarse la metodología de la auditoría de carácter especial en lo que resulte aplicable (…)”, así como otras regulaciones propias que se indican en esa normativa para tales unidades de control. Por lo tanto, para efectos de los participantes que sean funcionarios de auditorías internas, los siguientes pasos o consejos pueden ser utilizados, en el tanto, no sean incompatibles con el tipo de auditoría que deben realizar.</w:t>
      </w:r>
    </w:p>
    <w:p w14:paraId="58FC168C" w14:textId="77777777" w:rsidR="00224F1C" w:rsidRPr="00AC14AE" w:rsidRDefault="00224F1C" w:rsidP="00224F1C">
      <w:pPr>
        <w:shd w:val="clear" w:color="auto" w:fill="FFFFFF"/>
        <w:spacing w:after="100" w:afterAutospacing="1" w:line="240" w:lineRule="auto"/>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aplicación de estas etapas inicia cuando el sujeto competente ha tomado la decisión de realizar una </w:t>
      </w:r>
      <w:r w:rsidRPr="00AC14AE">
        <w:rPr>
          <w:rFonts w:ascii="Arial" w:eastAsia="Times New Roman" w:hAnsi="Arial" w:cs="Arial"/>
          <w:noProof w:val="0"/>
          <w:color w:val="333333"/>
          <w:kern w:val="0"/>
          <w:sz w:val="24"/>
          <w:szCs w:val="24"/>
          <w:lang w:eastAsia="es-CR"/>
          <w14:ligatures w14:val="none"/>
        </w:rPr>
        <w:t>IP</w:t>
      </w:r>
      <w:r w:rsidRPr="00AC14AE">
        <w:rPr>
          <w:rFonts w:ascii="Arial" w:eastAsia="Times New Roman" w:hAnsi="Arial" w:cs="Arial"/>
          <w:noProof w:val="0"/>
          <w:color w:val="1D2125"/>
          <w:kern w:val="0"/>
          <w:sz w:val="24"/>
          <w:szCs w:val="24"/>
          <w:lang w:eastAsia="es-CR"/>
          <w14:ligatures w14:val="none"/>
        </w:rPr>
        <w:t> en un determinado caso, es decir, habiéndose superado la fase de admisibilidad de la denuncia o cualquier otra valoración previa de convencimiento, para entrar a un proceso formal de aplicación de técnicas para investigar los hechos presuntamente irregulares y sus pruebas.</w:t>
      </w:r>
    </w:p>
    <w:p w14:paraId="59F9DFCF" w14:textId="77777777" w:rsidR="00224F1C" w:rsidRPr="00AC14AE" w:rsidRDefault="00224F1C" w:rsidP="00224F1C">
      <w:pPr>
        <w:shd w:val="clear" w:color="auto" w:fill="FFFFFF"/>
        <w:spacing w:after="100" w:afterAutospacing="1"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propuesta de acción para el proceso de investigación a cargo del sujeto competente está compuesta de cuatro etapas:</w:t>
      </w:r>
    </w:p>
    <w:p w14:paraId="620BF811" w14:textId="77777777" w:rsidR="00224F1C" w:rsidRPr="00AC14AE" w:rsidRDefault="00224F1C" w:rsidP="00224F1C">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1. Planificación: Es la tarea que conduce a la persona o equipo de trabajo a determinar las actividades que le permitirán alcanzar el objetivo de la investigación. En la etapa de planificación se identifican y se plasman en el programa de trabajo de investigación las diligencias o pericias de investigación necesarias para su comprobación (Programa de Investigación Preliminar).</w:t>
      </w:r>
    </w:p>
    <w:p w14:paraId="00388549" w14:textId="77777777" w:rsidR="00224F1C" w:rsidRPr="00AC14AE" w:rsidRDefault="00224F1C" w:rsidP="00224F1C">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2. Examen: Es la etapa mediante la cual se desarrollan las actividades planificadas, </w:t>
      </w:r>
      <w:proofErr w:type="gramStart"/>
      <w:r w:rsidRPr="00AC14AE">
        <w:rPr>
          <w:rFonts w:ascii="Arial" w:eastAsia="Times New Roman" w:hAnsi="Arial" w:cs="Arial"/>
          <w:noProof w:val="0"/>
          <w:color w:val="1D2125"/>
          <w:kern w:val="0"/>
          <w:sz w:val="24"/>
          <w:szCs w:val="24"/>
          <w:lang w:eastAsia="es-CR"/>
          <w14:ligatures w14:val="none"/>
        </w:rPr>
        <w:t>en  la</w:t>
      </w:r>
      <w:proofErr w:type="gramEnd"/>
      <w:r w:rsidRPr="00AC14AE">
        <w:rPr>
          <w:rFonts w:ascii="Arial" w:eastAsia="Times New Roman" w:hAnsi="Arial" w:cs="Arial"/>
          <w:noProof w:val="0"/>
          <w:color w:val="1D2125"/>
          <w:kern w:val="0"/>
          <w:sz w:val="24"/>
          <w:szCs w:val="24"/>
          <w:lang w:eastAsia="es-CR"/>
          <w14:ligatures w14:val="none"/>
        </w:rPr>
        <w:t xml:space="preserve"> cual se recopila la prueba y se valora técnica y jurídicamente.</w:t>
      </w:r>
    </w:p>
    <w:p w14:paraId="135E0495" w14:textId="77777777" w:rsidR="00224F1C" w:rsidRPr="00AC14AE" w:rsidRDefault="00224F1C" w:rsidP="00224F1C">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3. Comunicación de resultados: Es la etapa donde se valida la propuesta final de los productos a emitir de conformidad con los resultados de la investigación. Esta se dirige a las autoridades judiciales y/o administrativas que correspondan, en el caso de que existan elementos suficientes (fácticos, jurídicos y probatorios) que así lo hagan presumible.</w:t>
      </w:r>
    </w:p>
    <w:p w14:paraId="18E2916A" w14:textId="77777777" w:rsidR="00224F1C" w:rsidRPr="00AC14AE" w:rsidRDefault="00224F1C" w:rsidP="00224F1C">
      <w:pPr>
        <w:shd w:val="clear" w:color="auto" w:fill="FFFFFF"/>
        <w:spacing w:after="100" w:afterAutospacing="1" w:line="240" w:lineRule="auto"/>
        <w:ind w:left="900"/>
        <w:jc w:val="both"/>
        <w:rPr>
          <w:rFonts w:ascii="Arial" w:eastAsia="Times New Roman" w:hAnsi="Arial" w:cs="Arial"/>
          <w:noProof w:val="0"/>
          <w:color w:val="333333"/>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4. Seguimiento: Esta etapa consiste en la retroalimentación de información para mejorar el proceso y/o para coadyuvar en otros procesos subsiguientes. </w:t>
      </w:r>
      <w:proofErr w:type="spellStart"/>
      <w:r w:rsidRPr="00AC14AE">
        <w:rPr>
          <w:rFonts w:ascii="Arial" w:eastAsia="Times New Roman" w:hAnsi="Arial" w:cs="Arial"/>
          <w:noProof w:val="0"/>
          <w:color w:val="333333"/>
          <w:kern w:val="0"/>
          <w:sz w:val="24"/>
          <w:szCs w:val="24"/>
          <w:lang w:eastAsia="es-CR"/>
          <w14:ligatures w14:val="none"/>
        </w:rPr>
        <w:t>ministrativos</w:t>
      </w:r>
      <w:proofErr w:type="spellEnd"/>
      <w:r w:rsidRPr="00AC14AE">
        <w:rPr>
          <w:rFonts w:ascii="Arial" w:eastAsia="Times New Roman" w:hAnsi="Arial" w:cs="Arial"/>
          <w:noProof w:val="0"/>
          <w:color w:val="333333"/>
          <w:kern w:val="0"/>
          <w:sz w:val="24"/>
          <w:szCs w:val="24"/>
          <w:lang w:eastAsia="es-CR"/>
          <w14:ligatures w14:val="none"/>
        </w:rPr>
        <w:t xml:space="preserve"> (artículo 9). </w:t>
      </w:r>
    </w:p>
    <w:p w14:paraId="1FBA0AED" w14:textId="77777777" w:rsidR="00F411E1" w:rsidRPr="00AC14AE" w:rsidRDefault="00F411E1" w:rsidP="00F411E1">
      <w:pPr>
        <w:pStyle w:val="NormalWeb"/>
        <w:spacing w:before="0" w:beforeAutospacing="0"/>
        <w:ind w:left="450"/>
        <w:jc w:val="both"/>
        <w:rPr>
          <w:rFonts w:ascii="Arial" w:hAnsi="Arial" w:cs="Arial"/>
          <w:color w:val="1D2125"/>
        </w:rPr>
      </w:pPr>
      <w:r w:rsidRPr="00AC14AE">
        <w:rPr>
          <w:rStyle w:val="Textoennegrita"/>
          <w:rFonts w:ascii="Arial" w:eastAsiaTheme="majorEastAsia" w:hAnsi="Arial" w:cs="Arial"/>
          <w:color w:val="1D2125"/>
        </w:rPr>
        <w:t>Planificación</w:t>
      </w:r>
      <w:r w:rsidRPr="00AC14AE">
        <w:rPr>
          <w:rFonts w:ascii="Arial" w:hAnsi="Arial" w:cs="Arial"/>
          <w:color w:val="1D2125"/>
        </w:rPr>
        <w:t>: En esta etapa el equipo de trabajo determina las actividades que le permitirán alcanzar el objetivo de la investigación, se plasma el programa de investigación preliminar y se definen las diligencias necesarias para comprobar la hipótesis.</w:t>
      </w:r>
    </w:p>
    <w:p w14:paraId="3F41F29A" w14:textId="77777777" w:rsidR="00F411E1" w:rsidRPr="00AC14AE" w:rsidRDefault="00F411E1" w:rsidP="00F411E1">
      <w:pPr>
        <w:pStyle w:val="NormalWeb"/>
        <w:spacing w:before="0" w:beforeAutospacing="0"/>
        <w:ind w:left="450"/>
        <w:jc w:val="both"/>
        <w:rPr>
          <w:rFonts w:ascii="Arial" w:hAnsi="Arial" w:cs="Arial"/>
          <w:color w:val="1D2125"/>
        </w:rPr>
      </w:pPr>
      <w:r w:rsidRPr="00AC14AE">
        <w:rPr>
          <w:rStyle w:val="Textoennegrita"/>
          <w:rFonts w:ascii="Arial" w:eastAsiaTheme="majorEastAsia" w:hAnsi="Arial" w:cs="Arial"/>
          <w:color w:val="1D2125"/>
        </w:rPr>
        <w:t>Examen</w:t>
      </w:r>
      <w:r w:rsidRPr="00AC14AE">
        <w:rPr>
          <w:rFonts w:ascii="Arial" w:hAnsi="Arial" w:cs="Arial"/>
          <w:color w:val="1D2125"/>
        </w:rPr>
        <w:t xml:space="preserve">: Es la etapa mediante la cual se desarrollan las actividades planificadas, </w:t>
      </w:r>
      <w:proofErr w:type="gramStart"/>
      <w:r w:rsidRPr="00AC14AE">
        <w:rPr>
          <w:rFonts w:ascii="Arial" w:hAnsi="Arial" w:cs="Arial"/>
          <w:color w:val="1D2125"/>
        </w:rPr>
        <w:t>en  la</w:t>
      </w:r>
      <w:proofErr w:type="gramEnd"/>
      <w:r w:rsidRPr="00AC14AE">
        <w:rPr>
          <w:rFonts w:ascii="Arial" w:hAnsi="Arial" w:cs="Arial"/>
          <w:color w:val="1D2125"/>
        </w:rPr>
        <w:t xml:space="preserve"> cual se recopila la prueba y se valora técnica y jurídicamente, aquí se clasifican, interpretan y analizan las pruebas para fundamentar la teoría del caso.</w:t>
      </w:r>
    </w:p>
    <w:p w14:paraId="6004C2E1" w14:textId="77777777" w:rsidR="00F411E1" w:rsidRPr="00AC14AE" w:rsidRDefault="00F411E1" w:rsidP="00F411E1">
      <w:pPr>
        <w:pStyle w:val="NormalWeb"/>
        <w:spacing w:before="0" w:beforeAutospacing="0"/>
        <w:ind w:left="450"/>
        <w:rPr>
          <w:rFonts w:ascii="Arial" w:hAnsi="Arial" w:cs="Arial"/>
          <w:color w:val="1D2125"/>
        </w:rPr>
      </w:pPr>
      <w:r w:rsidRPr="00AC14AE">
        <w:rPr>
          <w:rStyle w:val="Textoennegrita"/>
          <w:rFonts w:ascii="Arial" w:eastAsiaTheme="majorEastAsia" w:hAnsi="Arial" w:cs="Arial"/>
          <w:color w:val="1D2125"/>
        </w:rPr>
        <w:t>Comunicación de resultados</w:t>
      </w:r>
      <w:r w:rsidRPr="00AC14AE">
        <w:rPr>
          <w:rFonts w:ascii="Arial" w:hAnsi="Arial" w:cs="Arial"/>
          <w:color w:val="1D2125"/>
        </w:rPr>
        <w:t>: Es la etapa donde se valida la propuesta final de los productos a emitir de conformidad con los resultados de la investigación, se realiza el informe de investigación y se comunica a las instancias competentes.</w:t>
      </w:r>
    </w:p>
    <w:p w14:paraId="31B50FC6" w14:textId="77777777" w:rsidR="00F411E1" w:rsidRPr="00AC14AE" w:rsidRDefault="00F411E1" w:rsidP="00F411E1">
      <w:pPr>
        <w:pStyle w:val="NormalWeb"/>
        <w:spacing w:before="0" w:beforeAutospacing="0"/>
        <w:ind w:left="450"/>
        <w:jc w:val="both"/>
        <w:rPr>
          <w:rFonts w:ascii="Arial" w:hAnsi="Arial" w:cs="Arial"/>
          <w:color w:val="1D2125"/>
        </w:rPr>
      </w:pPr>
      <w:r w:rsidRPr="00AC14AE">
        <w:rPr>
          <w:rStyle w:val="Textoennegrita"/>
          <w:rFonts w:ascii="Arial" w:eastAsiaTheme="majorEastAsia" w:hAnsi="Arial" w:cs="Arial"/>
          <w:color w:val="1D2125"/>
        </w:rPr>
        <w:t>Seguimiento</w:t>
      </w:r>
      <w:r w:rsidRPr="00AC14AE">
        <w:rPr>
          <w:rFonts w:ascii="Arial" w:hAnsi="Arial" w:cs="Arial"/>
          <w:color w:val="1D2125"/>
        </w:rPr>
        <w:t xml:space="preserve">: Esta etapa se realiza la retroalimentación de información para mejorar el proceso de investigación, quedando el seguimiento del informe de investigación a cargo de los órganos </w:t>
      </w:r>
      <w:proofErr w:type="gramStart"/>
      <w:r w:rsidRPr="00AC14AE">
        <w:rPr>
          <w:rFonts w:ascii="Arial" w:hAnsi="Arial" w:cs="Arial"/>
          <w:color w:val="1D2125"/>
        </w:rPr>
        <w:t>competentes..</w:t>
      </w:r>
      <w:proofErr w:type="gramEnd"/>
    </w:p>
    <w:p w14:paraId="2B9E44DC" w14:textId="77777777" w:rsidR="00F411E1" w:rsidRPr="00AC14AE" w:rsidRDefault="00F411E1" w:rsidP="00224F1C">
      <w:pPr>
        <w:shd w:val="clear" w:color="auto" w:fill="FFFFFF"/>
        <w:spacing w:after="100" w:afterAutospacing="1" w:line="240" w:lineRule="auto"/>
        <w:ind w:left="900"/>
        <w:jc w:val="both"/>
        <w:rPr>
          <w:rFonts w:ascii="Arial" w:eastAsia="Times New Roman" w:hAnsi="Arial" w:cs="Arial"/>
          <w:noProof w:val="0"/>
          <w:color w:val="1D2125"/>
          <w:kern w:val="0"/>
          <w:sz w:val="24"/>
          <w:szCs w:val="24"/>
          <w:lang w:eastAsia="es-CR"/>
          <w14:ligatures w14:val="none"/>
        </w:rPr>
      </w:pPr>
    </w:p>
    <w:p w14:paraId="46F143B7" w14:textId="317BD014" w:rsidR="00224F1C" w:rsidRPr="00AC14AE" w:rsidRDefault="001B7E5B" w:rsidP="00224F1C">
      <w:pPr>
        <w:shd w:val="clear" w:color="auto" w:fill="FFFFFF"/>
        <w:spacing w:after="100" w:afterAutospacing="1" w:line="240" w:lineRule="auto"/>
        <w:rPr>
          <w:rFonts w:ascii="Arial" w:eastAsia="Times New Roman" w:hAnsi="Arial" w:cs="Arial"/>
          <w:noProof w:val="0"/>
          <w:color w:val="1D2125"/>
          <w:kern w:val="0"/>
          <w:sz w:val="24"/>
          <w:szCs w:val="24"/>
          <w:lang w:eastAsia="es-CR"/>
          <w14:ligatures w14:val="none"/>
        </w:rPr>
      </w:pPr>
      <w:r w:rsidRPr="00AC14AE">
        <w:rPr>
          <w:rFonts w:ascii="Arial" w:hAnsi="Arial" w:cs="Arial"/>
          <w:sz w:val="24"/>
          <w:szCs w:val="24"/>
        </w:rPr>
        <w:drawing>
          <wp:inline distT="0" distB="0" distL="0" distR="0" wp14:anchorId="6C53D918" wp14:editId="78562342">
            <wp:extent cx="5612130" cy="3970020"/>
            <wp:effectExtent l="0" t="0" r="7620" b="0"/>
            <wp:docPr id="848879041" name="Imagen 11"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879041" name="Imagen 11" descr="Diagrama&#10;&#10;Descripción generada automáticamente con confianza med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970020"/>
                    </a:xfrm>
                    <a:prstGeom prst="rect">
                      <a:avLst/>
                    </a:prstGeom>
                    <a:noFill/>
                    <a:ln>
                      <a:noFill/>
                    </a:ln>
                  </pic:spPr>
                </pic:pic>
              </a:graphicData>
            </a:graphic>
          </wp:inline>
        </w:drawing>
      </w:r>
    </w:p>
    <w:p w14:paraId="0729BB7E" w14:textId="77777777" w:rsidR="00AE15A4" w:rsidRPr="00AC14AE" w:rsidRDefault="001B7E5B" w:rsidP="00AE15A4">
      <w:pPr>
        <w:shd w:val="clear" w:color="auto" w:fill="FFFFFF"/>
        <w:spacing w:after="100" w:afterAutospacing="1" w:line="240" w:lineRule="auto"/>
        <w:ind w:left="450" w:firstLine="708"/>
        <w:rPr>
          <w:rFonts w:ascii="Arial" w:eastAsia="Times New Roman" w:hAnsi="Arial" w:cs="Arial"/>
          <w:noProof w:val="0"/>
          <w:color w:val="1D2125"/>
          <w:kern w:val="0"/>
          <w:sz w:val="24"/>
          <w:szCs w:val="24"/>
          <w:lang w:eastAsia="es-CR"/>
          <w14:ligatures w14:val="none"/>
        </w:rPr>
      </w:pPr>
      <w:r w:rsidRPr="00AC14AE">
        <w:rPr>
          <w:rFonts w:ascii="Arial" w:hAnsi="Arial" w:cs="Arial"/>
          <w:sz w:val="24"/>
          <w:szCs w:val="24"/>
        </w:rPr>
        <w:tab/>
      </w:r>
      <w:r w:rsidR="00AE15A4" w:rsidRPr="00AC14AE">
        <w:rPr>
          <w:rFonts w:ascii="Arial" w:eastAsia="Times New Roman" w:hAnsi="Arial" w:cs="Arial"/>
          <w:noProof w:val="0"/>
          <w:color w:val="1D2125"/>
          <w:kern w:val="0"/>
          <w:sz w:val="24"/>
          <w:szCs w:val="24"/>
          <w:lang w:eastAsia="es-CR"/>
          <w14:ligatures w14:val="none"/>
        </w:rPr>
        <w:t>2.1. Etapa de Planificación</w:t>
      </w:r>
    </w:p>
    <w:p w14:paraId="670A96D4" w14:textId="77777777" w:rsidR="00AE15A4" w:rsidRPr="00AC14AE" w:rsidRDefault="00AE15A4" w:rsidP="00AE15A4">
      <w:pPr>
        <w:shd w:val="clear" w:color="auto" w:fill="FFFFFF"/>
        <w:spacing w:after="100" w:afterAutospacing="1" w:line="240" w:lineRule="auto"/>
        <w:ind w:left="450" w:firstLine="708"/>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Esta etapa es muy importante para la ejecución de una investigación exitosa; es el momento preliminar en el que se debe realizar el Programa de Investigación Preliminar, el cual incluye dos tareas fundamentales, el establecimiento de una hipótesis y la creación de un plan de trabajo.</w:t>
      </w:r>
    </w:p>
    <w:p w14:paraId="1C493CDA" w14:textId="77777777" w:rsidR="00AE15A4" w:rsidRPr="00AC14AE" w:rsidRDefault="00AE15A4" w:rsidP="00AE15A4">
      <w:pPr>
        <w:shd w:val="clear" w:color="auto" w:fill="FFFFFF"/>
        <w:spacing w:after="100" w:afterAutospacing="1" w:line="240" w:lineRule="auto"/>
        <w:ind w:left="450" w:firstLine="708"/>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2.1.1. La Hipótesis</w:t>
      </w:r>
    </w:p>
    <w:p w14:paraId="40B03802" w14:textId="77777777" w:rsidR="00AE15A4" w:rsidRPr="00AC14AE" w:rsidRDefault="00AE15A4" w:rsidP="00AE15A4">
      <w:pPr>
        <w:shd w:val="clear" w:color="auto" w:fill="FFFFFF"/>
        <w:spacing w:after="100" w:afterAutospacing="1" w:line="240" w:lineRule="auto"/>
        <w:ind w:left="450" w:firstLine="708"/>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La finalidad de la investigación es la comprobación de una teoría del caso probable, que, de ser verificada, generaría responsabilidad. Esta debe ser planteada según los criterios profesionales de quién realiza la investigación.</w:t>
      </w:r>
    </w:p>
    <w:p w14:paraId="43618323" w14:textId="77777777" w:rsidR="00AE15A4" w:rsidRPr="00AC14AE" w:rsidRDefault="00AE15A4" w:rsidP="00AE15A4">
      <w:pPr>
        <w:shd w:val="clear" w:color="auto" w:fill="FFFFFF"/>
        <w:spacing w:after="100" w:afterAutospacing="1" w:line="240" w:lineRule="auto"/>
        <w:ind w:firstLine="450"/>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Hay que tomar en cuenta que, teóricamente, el concepto de teoría del caso está conceptualizado para su aplicación en materia penal. No obstante, esta forma ordenada de atender los hechos presuntamente irregulares sirve como un planteamiento metodológico para analizar los hechos con el fin de proporcionarles una orientación sustentada en el ordenamiento jurídico y en las pruebas recabadas.</w:t>
      </w:r>
    </w:p>
    <w:p w14:paraId="0EF0AA76" w14:textId="77777777" w:rsidR="00AE15A4" w:rsidRPr="00AC14AE" w:rsidRDefault="00AE15A4" w:rsidP="00AE15A4">
      <w:pPr>
        <w:shd w:val="clear" w:color="auto" w:fill="FFFFFF"/>
        <w:spacing w:after="100" w:afterAutospacing="1" w:line="240" w:lineRule="auto"/>
        <w:ind w:left="450" w:firstLine="708"/>
        <w:jc w:val="both"/>
        <w:rPr>
          <w:rFonts w:ascii="Arial" w:eastAsia="Times New Roman" w:hAnsi="Arial" w:cs="Arial"/>
          <w:noProof w:val="0"/>
          <w:color w:val="1D2125"/>
          <w:kern w:val="0"/>
          <w:sz w:val="24"/>
          <w:szCs w:val="24"/>
          <w:lang w:eastAsia="es-CR"/>
          <w14:ligatures w14:val="none"/>
        </w:rPr>
      </w:pPr>
    </w:p>
    <w:p w14:paraId="41C8350D" w14:textId="30897E6D" w:rsidR="00AE15A4" w:rsidRPr="00AC14AE" w:rsidRDefault="00AE15A4" w:rsidP="00AE15A4">
      <w:pPr>
        <w:shd w:val="clear" w:color="auto" w:fill="FFFFFF"/>
        <w:spacing w:after="100" w:afterAutospacing="1" w:line="240" w:lineRule="auto"/>
        <w:ind w:left="450" w:firstLine="708"/>
        <w:jc w:val="both"/>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La teoría del </w:t>
      </w:r>
      <w:proofErr w:type="gramStart"/>
      <w:r w:rsidRPr="00AC14AE">
        <w:rPr>
          <w:rFonts w:ascii="Arial" w:eastAsia="Times New Roman" w:hAnsi="Arial" w:cs="Arial"/>
          <w:noProof w:val="0"/>
          <w:color w:val="1D2125"/>
          <w:kern w:val="0"/>
          <w:sz w:val="24"/>
          <w:szCs w:val="24"/>
          <w:lang w:eastAsia="es-CR"/>
          <w14:ligatures w14:val="none"/>
        </w:rPr>
        <w:t>caso,</w:t>
      </w:r>
      <w:proofErr w:type="gramEnd"/>
      <w:r w:rsidRPr="00AC14AE">
        <w:rPr>
          <w:rFonts w:ascii="Arial" w:eastAsia="Times New Roman" w:hAnsi="Arial" w:cs="Arial"/>
          <w:noProof w:val="0"/>
          <w:color w:val="1D2125"/>
          <w:kern w:val="0"/>
          <w:sz w:val="24"/>
          <w:szCs w:val="24"/>
          <w:lang w:eastAsia="es-CR"/>
          <w14:ligatures w14:val="none"/>
        </w:rPr>
        <w:t xml:space="preserve"> debe ser planteada según el criterio profesional de quien realiza la investigación y puede ser definida como el conjunto de hechos que se reconstruyen mediante prueba y son analizados dentro de un marco jurídico aplicable. Esto quiere decir que la teoría del caso de una investigación está compuesta por tres niveles de análisis</w:t>
      </w:r>
      <w:r w:rsidR="0094324F" w:rsidRPr="00AC14AE">
        <w:rPr>
          <w:rFonts w:ascii="Arial" w:eastAsia="Times New Roman" w:hAnsi="Arial" w:cs="Arial"/>
          <w:noProof w:val="0"/>
          <w:color w:val="1D2125"/>
          <w:kern w:val="0"/>
          <w:sz w:val="24"/>
          <w:szCs w:val="24"/>
          <w:lang w:eastAsia="es-CR"/>
          <w14:ligatures w14:val="none"/>
        </w:rPr>
        <w:t>:</w:t>
      </w:r>
    </w:p>
    <w:p w14:paraId="06774E74" w14:textId="63977037" w:rsidR="00135CC0" w:rsidRPr="00AC14AE" w:rsidRDefault="00135CC0" w:rsidP="00AE15A4">
      <w:pPr>
        <w:shd w:val="clear" w:color="auto" w:fill="FFFFFF"/>
        <w:spacing w:after="100" w:afterAutospacing="1" w:line="240" w:lineRule="auto"/>
        <w:ind w:left="450" w:firstLine="708"/>
        <w:jc w:val="both"/>
        <w:rPr>
          <w:rFonts w:ascii="Arial" w:eastAsia="Times New Roman" w:hAnsi="Arial" w:cs="Arial"/>
          <w:noProof w:val="0"/>
          <w:color w:val="1D2125"/>
          <w:kern w:val="0"/>
          <w:sz w:val="24"/>
          <w:szCs w:val="24"/>
          <w:lang w:eastAsia="es-CR"/>
          <w14:ligatures w14:val="none"/>
        </w:rPr>
      </w:pPr>
      <w:r w:rsidRPr="00AC14AE">
        <w:rPr>
          <w:rFonts w:ascii="Arial" w:hAnsi="Arial" w:cs="Arial"/>
          <w:sz w:val="24"/>
          <w:szCs w:val="24"/>
        </w:rPr>
        <w:drawing>
          <wp:inline distT="0" distB="0" distL="0" distR="0" wp14:anchorId="5C26E52C" wp14:editId="520C02DF">
            <wp:extent cx="5612130" cy="4248150"/>
            <wp:effectExtent l="0" t="0" r="7620" b="0"/>
            <wp:docPr id="85159305" name="Imagen 12" descr="Captura de pantalla de un celular con texto e imagen&#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59305" name="Imagen 12" descr="Captura de pantalla de un celular con texto e imagen&#10;&#10;Descripción generada automáticamente con confianza medi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2130" cy="4248150"/>
                    </a:xfrm>
                    <a:prstGeom prst="rect">
                      <a:avLst/>
                    </a:prstGeom>
                    <a:noFill/>
                    <a:ln>
                      <a:noFill/>
                    </a:ln>
                  </pic:spPr>
                </pic:pic>
              </a:graphicData>
            </a:graphic>
          </wp:inline>
        </w:drawing>
      </w:r>
    </w:p>
    <w:p w14:paraId="34531D73" w14:textId="77777777" w:rsidR="008538B1" w:rsidRPr="00AC14AE" w:rsidRDefault="008538B1" w:rsidP="008538B1">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la teoría del caso se plantea una hipótesis general que permite vislumbrar o predecir lo que pudo haber ocurrido y de donde se pudiese vislumbrar una responsabilidad sancionable por el ordenamiento jurídico de naturaleza administrativa, civil y/o penal, y será en una etapa posterior, con el curso de un procedimiento administrativo sancionador, que ésta será o no verificada y comprobada, al ser confrontada con las pruebas refutables o irrefutables que exponga cada una de las partes investigadas.</w:t>
      </w:r>
    </w:p>
    <w:p w14:paraId="612C7DF7" w14:textId="739D9A7E" w:rsidR="00613DD3" w:rsidRPr="00AC14AE" w:rsidRDefault="008538B1" w:rsidP="008538B1">
      <w:pPr>
        <w:tabs>
          <w:tab w:val="left" w:pos="3115"/>
        </w:tabs>
        <w:rPr>
          <w:rFonts w:ascii="Arial" w:hAnsi="Arial" w:cs="Arial"/>
          <w:color w:val="1D2125"/>
          <w:sz w:val="24"/>
          <w:szCs w:val="24"/>
        </w:rPr>
      </w:pPr>
      <w:r w:rsidRPr="00AC14AE">
        <w:rPr>
          <w:rFonts w:ascii="Arial" w:hAnsi="Arial" w:cs="Arial"/>
          <w:color w:val="1D2125"/>
          <w:sz w:val="24"/>
          <w:szCs w:val="24"/>
        </w:rPr>
        <w:t>En síntesis, la teoría del caso debe señalar los hechos ocurridos con todos sus detalles, la justificación de por qué se presume la existencia de una responsabilidad, las normas jurídicas aplicables y vigentes al momento de los</w:t>
      </w:r>
    </w:p>
    <w:p w14:paraId="292AEE52" w14:textId="77777777" w:rsidR="00257DAA" w:rsidRPr="00AC14AE" w:rsidRDefault="00257DAA" w:rsidP="00257DAA">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hechos y las que se consideran aparentemente vulneradas y los elementos de prueba necesarios para su sustento.</w:t>
      </w:r>
    </w:p>
    <w:p w14:paraId="6F058B64" w14:textId="77777777" w:rsidR="00257DAA" w:rsidRPr="00AC14AE" w:rsidRDefault="00257DAA" w:rsidP="00257DAA">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El equipo investigador debe tener siempre presente que todas las diligencias de investigación deben estar dirigidas a la comprobación de la hipótesis o teoría del caso propuesta; esto permitirá verificar que las acciones del equipo investigador no se estén desviando del objetivo principal, ahorrando tiempo y esfuerzos. Esto es importante porque los procedimientos de investigación demandan tiempo y recursos que en la mayoría de las instituciones son escasos.</w:t>
      </w:r>
    </w:p>
    <w:p w14:paraId="42C15FBB" w14:textId="77777777" w:rsidR="00257DAA" w:rsidRPr="00AC14AE" w:rsidRDefault="00257DAA" w:rsidP="00257DAA">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Una hipótesis correctamente planteada y orientada ayudará a ser más específicos y a tener mayor precisión en las actividades a desarrollarse. Es por ello, que el investigador debe ser capaz de identificar con precisión la hipótesis de la investigación y su grado de probabilidad de comprobación, sabiendo que cada actividad programada en el plan de trabajo necesariamente debe implicar la obtención de la prueba pertinente para el sustento de la investigación.</w:t>
      </w:r>
    </w:p>
    <w:p w14:paraId="44FCBC97" w14:textId="77777777" w:rsidR="009A351F" w:rsidRPr="00AC14AE" w:rsidRDefault="009A351F" w:rsidP="009A351F">
      <w:pPr>
        <w:pStyle w:val="NormalWeb"/>
        <w:shd w:val="clear" w:color="auto" w:fill="FFFFFF"/>
        <w:spacing w:before="0" w:beforeAutospacing="0"/>
        <w:rPr>
          <w:rFonts w:ascii="Arial" w:hAnsi="Arial" w:cs="Arial"/>
          <w:color w:val="1D2125"/>
        </w:rPr>
      </w:pPr>
      <w:r w:rsidRPr="00AC14AE">
        <w:rPr>
          <w:rFonts w:ascii="Arial" w:hAnsi="Arial" w:cs="Arial"/>
          <w:color w:val="1D2125"/>
        </w:rPr>
        <w:t>Un ejemplo de una teoría del caso hipotética sería:</w:t>
      </w:r>
    </w:p>
    <w:p w14:paraId="3B4D8D1A" w14:textId="198B3879" w:rsidR="00257DAA" w:rsidRPr="00AC14AE" w:rsidRDefault="006C4359" w:rsidP="008538B1">
      <w:pPr>
        <w:tabs>
          <w:tab w:val="left" w:pos="3115"/>
        </w:tabs>
        <w:rPr>
          <w:rFonts w:ascii="Arial" w:hAnsi="Arial" w:cs="Arial"/>
          <w:sz w:val="24"/>
          <w:szCs w:val="24"/>
        </w:rPr>
      </w:pPr>
      <w:r w:rsidRPr="00AC14AE">
        <w:rPr>
          <w:rFonts w:ascii="Arial" w:hAnsi="Arial" w:cs="Arial"/>
          <w:sz w:val="24"/>
          <w:szCs w:val="24"/>
        </w:rPr>
        <w:drawing>
          <wp:inline distT="0" distB="0" distL="0" distR="0" wp14:anchorId="69547DE8" wp14:editId="71FFD396">
            <wp:extent cx="5612130" cy="4895850"/>
            <wp:effectExtent l="0" t="0" r="7620" b="0"/>
            <wp:docPr id="822169083" name="Imagen 13" descr="Escala de tiem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169083" name="Imagen 13" descr="Escala de tiempo&#10;&#10;Descripción generada automáticament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4895850"/>
                    </a:xfrm>
                    <a:prstGeom prst="rect">
                      <a:avLst/>
                    </a:prstGeom>
                    <a:noFill/>
                    <a:ln>
                      <a:noFill/>
                    </a:ln>
                  </pic:spPr>
                </pic:pic>
              </a:graphicData>
            </a:graphic>
          </wp:inline>
        </w:drawing>
      </w:r>
    </w:p>
    <w:p w14:paraId="4196BA09" w14:textId="77777777" w:rsidR="006C09F7" w:rsidRPr="00AC14AE" w:rsidRDefault="006C4359" w:rsidP="006C09F7">
      <w:pPr>
        <w:pStyle w:val="Ttulo3"/>
        <w:shd w:val="clear" w:color="auto" w:fill="FFFFFF"/>
        <w:spacing w:before="0"/>
        <w:rPr>
          <w:rFonts w:ascii="Arial" w:hAnsi="Arial" w:cs="Arial"/>
          <w:noProof w:val="0"/>
          <w:color w:val="1D2125"/>
          <w:sz w:val="24"/>
          <w:szCs w:val="24"/>
        </w:rPr>
      </w:pPr>
      <w:r w:rsidRPr="00AC14AE">
        <w:rPr>
          <w:rFonts w:ascii="Arial" w:hAnsi="Arial" w:cs="Arial"/>
          <w:sz w:val="24"/>
          <w:szCs w:val="24"/>
        </w:rPr>
        <w:tab/>
      </w:r>
      <w:r w:rsidR="006C09F7" w:rsidRPr="00AC14AE">
        <w:rPr>
          <w:rFonts w:ascii="Arial" w:hAnsi="Arial" w:cs="Arial"/>
          <w:b/>
          <w:bCs/>
          <w:color w:val="1D2125"/>
          <w:sz w:val="24"/>
          <w:szCs w:val="24"/>
        </w:rPr>
        <w:t>2.1.2. El Programa de la investigación preliminar</w:t>
      </w:r>
    </w:p>
    <w:p w14:paraId="4E6BCF39" w14:textId="77777777" w:rsidR="006C09F7" w:rsidRPr="00AC14AE" w:rsidRDefault="006C09F7" w:rsidP="006C09F7">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El programa de la investigación </w:t>
      </w:r>
      <w:proofErr w:type="gramStart"/>
      <w:r w:rsidRPr="00AC14AE">
        <w:rPr>
          <w:rFonts w:ascii="Arial" w:hAnsi="Arial" w:cs="Arial"/>
          <w:color w:val="1D2125"/>
        </w:rPr>
        <w:t>preliminar,</w:t>
      </w:r>
      <w:proofErr w:type="gramEnd"/>
      <w:r w:rsidRPr="00AC14AE">
        <w:rPr>
          <w:rFonts w:ascii="Arial" w:hAnsi="Arial" w:cs="Arial"/>
          <w:color w:val="1D2125"/>
        </w:rPr>
        <w:t xml:space="preserve"> es un plan de trabajo que tiene como función el servir de guía para la ejecución de toda la investigación preliminar, en el cual se define qué es lo que se </w:t>
      </w:r>
      <w:proofErr w:type="gramStart"/>
      <w:r w:rsidRPr="00AC14AE">
        <w:rPr>
          <w:rFonts w:ascii="Arial" w:hAnsi="Arial" w:cs="Arial"/>
          <w:color w:val="1D2125"/>
        </w:rPr>
        <w:t>va</w:t>
      </w:r>
      <w:proofErr w:type="gramEnd"/>
      <w:r w:rsidRPr="00AC14AE">
        <w:rPr>
          <w:rFonts w:ascii="Arial" w:hAnsi="Arial" w:cs="Arial"/>
          <w:color w:val="1D2125"/>
        </w:rPr>
        <w:t xml:space="preserve"> hacer y cuál será </w:t>
      </w:r>
      <w:proofErr w:type="gramStart"/>
      <w:r w:rsidRPr="00AC14AE">
        <w:rPr>
          <w:rFonts w:ascii="Arial" w:hAnsi="Arial" w:cs="Arial"/>
          <w:color w:val="1D2125"/>
        </w:rPr>
        <w:t>el camino a seguir</w:t>
      </w:r>
      <w:proofErr w:type="gramEnd"/>
      <w:r w:rsidRPr="00AC14AE">
        <w:rPr>
          <w:rFonts w:ascii="Arial" w:hAnsi="Arial" w:cs="Arial"/>
          <w:color w:val="1D2125"/>
        </w:rPr>
        <w:t>.</w:t>
      </w:r>
    </w:p>
    <w:p w14:paraId="1FE3E7C4" w14:textId="7032B87E" w:rsidR="009F771E" w:rsidRPr="00AC14AE" w:rsidRDefault="006C09F7" w:rsidP="009F771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Si bien el plan de trabajo no tiene una estructura previamente definida ni estricta, debe procurarse que tenga todos los aspectos básicos que permitan que cumpla con su finalidad de servir como una guía para el equipo. </w:t>
      </w:r>
      <w:proofErr w:type="gramStart"/>
      <w:r w:rsidRPr="00AC14AE">
        <w:rPr>
          <w:rFonts w:ascii="Arial" w:hAnsi="Arial" w:cs="Arial"/>
          <w:color w:val="1D2125"/>
        </w:rPr>
        <w:t>En razón de</w:t>
      </w:r>
      <w:proofErr w:type="gramEnd"/>
      <w:r w:rsidRPr="00AC14AE">
        <w:rPr>
          <w:rFonts w:ascii="Arial" w:hAnsi="Arial" w:cs="Arial"/>
          <w:color w:val="1D2125"/>
        </w:rPr>
        <w:t xml:space="preserve"> esto, es recomendable que sea elaborado por el equipo investigador en su conjunto, pues es importante que cada investigador conozca con exactitud cuál será</w:t>
      </w:r>
      <w:r w:rsidR="009F771E" w:rsidRPr="00AC14AE">
        <w:rPr>
          <w:rFonts w:ascii="Arial" w:hAnsi="Arial" w:cs="Arial"/>
          <w:color w:val="1D2125"/>
        </w:rPr>
        <w:t xml:space="preserve"> la hoja de ruta que seguirá el equipo y cuál es el objetivo final de ese proceso de investigación.</w:t>
      </w:r>
    </w:p>
    <w:p w14:paraId="053F0420" w14:textId="77777777" w:rsidR="009F771E" w:rsidRPr="00AC14AE" w:rsidRDefault="009F771E" w:rsidP="009F771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Se debe procurar que el programa de la investigación defina principalmente:</w:t>
      </w:r>
    </w:p>
    <w:p w14:paraId="5D8E02C2" w14:textId="77777777" w:rsidR="009F771E" w:rsidRPr="00AC14AE" w:rsidRDefault="009F771E" w:rsidP="009F771E">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a) Las personas que participarán en la investigación, el rol que tendrá cada una de ellas.</w:t>
      </w:r>
    </w:p>
    <w:p w14:paraId="2C0CC317" w14:textId="77777777" w:rsidR="009F771E" w:rsidRPr="00AC14AE" w:rsidRDefault="009F771E" w:rsidP="009F771E">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b) El análisis de la prueba con la que ya se cuenta (en caso de que exista) para establecer si resulta suficiente.</w:t>
      </w:r>
    </w:p>
    <w:p w14:paraId="00A51171" w14:textId="77777777" w:rsidR="009F771E" w:rsidRPr="00AC14AE" w:rsidRDefault="009F771E" w:rsidP="009F771E">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c) Las acciones que se planea llevar a cabo para la comprobación de la hipótesis, es decir, un listado de aquellas cosas que se planea hacer, la prueba que se debe conseguir y de qué forma se hará.</w:t>
      </w:r>
    </w:p>
    <w:p w14:paraId="579AC57C" w14:textId="77777777" w:rsidR="009F771E" w:rsidRPr="00AC14AE" w:rsidRDefault="009F771E" w:rsidP="009F771E">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d) El alcance material y temporal de la investigación, es decir, cuáles hechos y cuál periodo abarcará la investigación.</w:t>
      </w:r>
    </w:p>
    <w:p w14:paraId="14965861" w14:textId="77777777" w:rsidR="00DB1449" w:rsidRPr="00AC14AE" w:rsidRDefault="00DB1449" w:rsidP="00DB144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Igualmente, es recomendable establecer una distribución de tareas entre los miembros del equipo, fijando una persona responsable para cada tarea de acuerdo con las funciones y capacidad profesional de cada miembro (esto porque las investigaciones pueden recaer en profesionales de distintas ramas). Asimismo, es posible también establecer plazos para la realización de cada tarea y metas para el cumplimiento de las acciones investigativas.</w:t>
      </w:r>
    </w:p>
    <w:p w14:paraId="66C94CC4" w14:textId="77777777" w:rsidR="00DB1449" w:rsidRPr="00AC14AE" w:rsidRDefault="00DB1449" w:rsidP="00DB144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La elaboración de un programa como el propuesto servirá para que no se deje al azar el curso de la investigación y se evite realizar diligencias innecesarias o improvisadas que puedan causar atrasos injustificados. Además, permitirá tener un mayor control sobre el curso de la investigación, las acciones que faltan por realizar y los plazos.</w:t>
      </w:r>
    </w:p>
    <w:p w14:paraId="5392D8A3" w14:textId="77777777" w:rsidR="00DB1449" w:rsidRPr="00AC14AE" w:rsidRDefault="00DB1449" w:rsidP="00DB144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Este plan no debe ser absoluto ni definitivo; no se debe perder de vista que la naturaleza de la investigación es dinámica y fluida, de manera que no siempre todo saldrá según lo planeado, especialmente en aquellas investigaciones complejas, sin embargo, el programa de la investigación preliminar puede ser adaptado o modificado según los nuevos cursos que tome el proceso manteniendo su utilidad, manteniéndose la necesidad de que cualquier modificación sea del conocimiento de todo el equipo de investigación.</w:t>
      </w:r>
    </w:p>
    <w:p w14:paraId="438DD276" w14:textId="77777777" w:rsidR="00DB1449" w:rsidRPr="00AC14AE" w:rsidRDefault="00DB1449" w:rsidP="00DB144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Finalmente, es importante </w:t>
      </w:r>
      <w:proofErr w:type="gramStart"/>
      <w:r w:rsidRPr="00AC14AE">
        <w:rPr>
          <w:rFonts w:ascii="Arial" w:hAnsi="Arial" w:cs="Arial"/>
          <w:color w:val="1D2125"/>
        </w:rPr>
        <w:t>que</w:t>
      </w:r>
      <w:proofErr w:type="gramEnd"/>
      <w:r w:rsidRPr="00AC14AE">
        <w:rPr>
          <w:rFonts w:ascii="Arial" w:hAnsi="Arial" w:cs="Arial"/>
          <w:color w:val="1D2125"/>
        </w:rPr>
        <w:t xml:space="preserve"> en el proceso de investigación, el equipo de trabajo cuente con el asesoramiento de un abogado y que éste les asista en su labor, con el fin de evitar errores u omisiones que eventualmente pueda incidir de manera negativa malogrando su trabajo (por ejemplo, realizar indagaciones de manera no apropiada técnicamente o la propia redacción del producto final), o peor aún, generando riesgos de impunidad o mala gestión en asuntos delicados o relevantes.</w:t>
      </w:r>
    </w:p>
    <w:p w14:paraId="1AD0A49E" w14:textId="77777777" w:rsidR="00297E59" w:rsidRPr="00AC14AE" w:rsidRDefault="00297E59" w:rsidP="00297E59">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2.2. Etapa de examen</w:t>
      </w:r>
    </w:p>
    <w:p w14:paraId="514804C2"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El proceso de investigación no es solamente una sucesión de pasos y actividades que indefectiblemente, al desarrollarse, darán como resultado un conocimiento irrefutable, sino que implica también el desarrollo de reglas lógicas de pensamiento, criterios apropiados de decisión y el uso de procedimientos coherentes con el caso investigado.</w:t>
      </w:r>
    </w:p>
    <w:p w14:paraId="52EB6BA1"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El origen de la investigación tratará de construir ciertas conjeturas, respaldadas y sustentadas por el conocimiento preexistente del tema que luego deben someterse a prueba siguiendo ciertas reglas, utilizando determinados instrumentos de recolección de información para, posteriormente, determinar que esas aseveraciones puedan ser consideradas como válidas.</w:t>
      </w:r>
    </w:p>
    <w:p w14:paraId="2C8CE192"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color w:val="1D2125"/>
        </w:rPr>
        <w:t>Una vez que se ha concluido con la etapa de planificación -la cual incluyó la hipótesis del caso a investigar y su respectivo programa de la investigación preliminar-, se genera inmediatamente la etapa de examen</w:t>
      </w:r>
      <w:r w:rsidRPr="00AC14AE">
        <w:rPr>
          <w:rFonts w:ascii="Arial" w:hAnsi="Arial" w:cs="Arial"/>
        </w:rPr>
        <w:t>, en donde se ejecutarán propiamente las actividades o tareas de la investigación relacionadas con la obtención y análisis de la prueba.</w:t>
      </w:r>
    </w:p>
    <w:p w14:paraId="33B66EF6"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rPr>
        <w:t>En esta etapa del proceso de investigación se distinguen al menos dos tareas principales:</w:t>
      </w:r>
    </w:p>
    <w:p w14:paraId="78CBB3CC" w14:textId="77777777" w:rsidR="00297E59" w:rsidRPr="00AC14AE" w:rsidRDefault="00297E59" w:rsidP="00297E59">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1. La recopilación de pruebas a través del desarrollo del programa de la investigación preliminar.</w:t>
      </w:r>
    </w:p>
    <w:p w14:paraId="39BD908C"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Fonts w:ascii="Arial" w:hAnsi="Arial" w:cs="Arial"/>
          <w:color w:val="1D2125"/>
        </w:rPr>
        <w:t>2. La clasificación, interpretación y análisis de la prueba para fundamentar la teoría del caso.</w:t>
      </w:r>
    </w:p>
    <w:p w14:paraId="385F1304"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Debe tenerse en cuenta que la investigación implica en general, no solo un trabajo intelectual y de reflexión destinado a elaborar una conjetura posible, sino también un trabajo empírico y creativo de recolección de datos, destinado a obtener información que apoye o refute nuestra hipótesis, a través de la generación de conclusiones coherentes y apropiadas, a partir de la compresión integral de la información obtenida.</w:t>
      </w:r>
    </w:p>
    <w:p w14:paraId="32695739" w14:textId="77777777" w:rsidR="00297E59" w:rsidRPr="00AC14AE" w:rsidRDefault="00297E59" w:rsidP="00297E59">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2.2.1. Actividad de recopilación de prueba</w:t>
      </w:r>
    </w:p>
    <w:p w14:paraId="0E43E639"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color w:val="1D2125"/>
        </w:rPr>
        <w:t xml:space="preserve">El proceso de recopilación de los medios probatorios dentro de una investigación se realiza mediante la ejecución de ciertas acciones determinadas y detalladas en su momento por el investigador, en donde el equipo de investigación elegirá entre las diferentes técnicas existentes, cuáles son las más idóneas para facilitar esa recopilación. </w:t>
      </w:r>
      <w:r w:rsidRPr="00AC14AE">
        <w:rPr>
          <w:rFonts w:ascii="Arial" w:hAnsi="Arial" w:cs="Arial"/>
        </w:rPr>
        <w:t xml:space="preserve">En esta actividad de la etapa de examen, se deben elegir las estrategias más adecuadas, los tiempos y lugares convenientes para realizar algunas actividades del programa de la investigación preliminar, lo que va a depender de las competencias legales que posea el equipo, y </w:t>
      </w:r>
      <w:proofErr w:type="gramStart"/>
      <w:r w:rsidRPr="00AC14AE">
        <w:rPr>
          <w:rFonts w:ascii="Arial" w:hAnsi="Arial" w:cs="Arial"/>
        </w:rPr>
        <w:t>que</w:t>
      </w:r>
      <w:proofErr w:type="gramEnd"/>
      <w:r w:rsidRPr="00AC14AE">
        <w:rPr>
          <w:rFonts w:ascii="Arial" w:hAnsi="Arial" w:cs="Arial"/>
        </w:rPr>
        <w:t xml:space="preserve"> además, sean lícitamente factibles.</w:t>
      </w:r>
    </w:p>
    <w:p w14:paraId="5DE3DB3E"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rPr>
        <w:t>En esta etapa del proceso, el investigador es el principal instrumento para la recolección y el análisis de datos. La recolección de información se va realizando y precisando en la medida en que se desarrollan las diferentes actividades o tareas previamente definidas en el programa de la investigación preliminar. Esta búsqueda de información requiere un esfuerzo consciente del investigador, con el fin de lograr el objetivo pretendido en la investigación, toda vez que la recolección de la información es emergente y cambiante en función de los hallazgos realizados durante el avance del procedimiento investigativo.</w:t>
      </w:r>
    </w:p>
    <w:p w14:paraId="095EBEC1" w14:textId="03A6291F" w:rsidR="00297E59" w:rsidRPr="00AC14AE" w:rsidRDefault="00297E59" w:rsidP="00297E59">
      <w:pPr>
        <w:pStyle w:val="NormalWeb"/>
        <w:shd w:val="clear" w:color="auto" w:fill="FFFFFF"/>
        <w:spacing w:before="0" w:beforeAutospacing="0"/>
        <w:jc w:val="both"/>
        <w:rPr>
          <w:rFonts w:ascii="Arial" w:hAnsi="Arial" w:cs="Arial"/>
        </w:rPr>
      </w:pPr>
      <w:proofErr w:type="gramStart"/>
      <w:r w:rsidRPr="00AC14AE">
        <w:rPr>
          <w:rFonts w:ascii="Arial" w:hAnsi="Arial" w:cs="Arial"/>
        </w:rPr>
        <w:t>El procedimiento a utilizar</w:t>
      </w:r>
      <w:proofErr w:type="gramEnd"/>
      <w:r w:rsidRPr="00AC14AE">
        <w:rPr>
          <w:rFonts w:ascii="Arial" w:hAnsi="Arial" w:cs="Arial"/>
        </w:rPr>
        <w:t xml:space="preserve"> en la recopilación de la prueba o medios </w:t>
      </w:r>
      <w:r w:rsidR="0010124F" w:rsidRPr="00AC14AE">
        <w:rPr>
          <w:rFonts w:ascii="Arial" w:hAnsi="Arial" w:cs="Arial"/>
        </w:rPr>
        <w:t>probatorios debe</w:t>
      </w:r>
      <w:r w:rsidRPr="00AC14AE">
        <w:rPr>
          <w:rFonts w:ascii="Arial" w:hAnsi="Arial" w:cs="Arial"/>
        </w:rPr>
        <w:t xml:space="preserve"> ser controlado en función de la investigación realizada. Desde su localización, hasta su posterior valoración por los encargados, deben ser manipulados con el cuidado profesional para no viciar el manejo que de ellos se haga, así como para evitar alteraciones, sustituciones, contaminaciones o destrucciones, asegurándose que esos medios probatorios se recopilen respetando el debido proceso y por medios lícitos.</w:t>
      </w:r>
    </w:p>
    <w:p w14:paraId="12C8B4CD"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Debemos tener en cuenta </w:t>
      </w:r>
      <w:proofErr w:type="gramStart"/>
      <w:r w:rsidRPr="00AC14AE">
        <w:rPr>
          <w:rFonts w:ascii="Arial" w:hAnsi="Arial" w:cs="Arial"/>
          <w:color w:val="1D2125"/>
        </w:rPr>
        <w:t>que</w:t>
      </w:r>
      <w:proofErr w:type="gramEnd"/>
      <w:r w:rsidRPr="00AC14AE">
        <w:rPr>
          <w:rFonts w:ascii="Arial" w:hAnsi="Arial" w:cs="Arial"/>
          <w:color w:val="1D2125"/>
        </w:rPr>
        <w:t xml:space="preserve"> en materia penal, de conformidad con lo que establece el artículo 182 del CPP, podrán probarse los hechos y </w:t>
      </w:r>
      <w:proofErr w:type="gramStart"/>
      <w:r w:rsidRPr="00AC14AE">
        <w:rPr>
          <w:rFonts w:ascii="Arial" w:hAnsi="Arial" w:cs="Arial"/>
          <w:color w:val="1D2125"/>
        </w:rPr>
        <w:t>las circunstancia</w:t>
      </w:r>
      <w:proofErr w:type="gramEnd"/>
      <w:r w:rsidRPr="00AC14AE">
        <w:rPr>
          <w:rFonts w:ascii="Arial" w:hAnsi="Arial" w:cs="Arial"/>
          <w:color w:val="1D2125"/>
        </w:rPr>
        <w:t xml:space="preserve"> de interés para la solución correcta del caso, por cualquier medio de prueba permitido, salvo prohibición expresa en la ley, estableciéndose así la libertad probatoria.  No obstante, para casos en los que se presuma una responsabilidad penal, es posible la admisibilidad de cualquier medio de prueba, siempre y cuando cumpla con las características indicadas en el artículo 183 del mismo código, el cual señala:  </w:t>
      </w:r>
    </w:p>
    <w:p w14:paraId="38CCE946"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rPr>
        <w:t>“(…) Para ser admisible, la prueba deberá referirse, directa o indirectamente, al objeto de la averiguación y deberá ser útil para descubrir la verdad (…)”.</w:t>
      </w:r>
    </w:p>
    <w:p w14:paraId="281E033D"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Por su parte, en materia administrativa, el artículo 298 inciso a) de la LGAP, señala que “1. Los medios de prueba podrán ser todos los que estén permitidos por el derecho público, aunque no sean admisibles por el derecho común (...)”.</w:t>
      </w:r>
    </w:p>
    <w:p w14:paraId="226F08B7"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No obstante, aunque los medios probatorios puedan ser más flexibles en el derecho administrativo, el respeto hacia los derechos fundamentales de la persona </w:t>
      </w:r>
      <w:proofErr w:type="gramStart"/>
      <w:r w:rsidRPr="00AC14AE">
        <w:rPr>
          <w:rFonts w:ascii="Arial" w:hAnsi="Arial" w:cs="Arial"/>
          <w:color w:val="1D2125"/>
        </w:rPr>
        <w:t>investigada,</w:t>
      </w:r>
      <w:proofErr w:type="gramEnd"/>
      <w:r w:rsidRPr="00AC14AE">
        <w:rPr>
          <w:rFonts w:ascii="Arial" w:hAnsi="Arial" w:cs="Arial"/>
          <w:color w:val="1D2125"/>
        </w:rPr>
        <w:t xml:space="preserve"> se constituye en un requisito indispensable que se debe observar al momento de decidir las técnicas que se emplearán para recopilar la prueba.</w:t>
      </w:r>
    </w:p>
    <w:p w14:paraId="18AE07E2"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este contexto, es preciso aclarar brevemente el concepto de prueba y distinguirlo con otros conceptos relacionados que suelen tomarse como sinónimos</w:t>
      </w:r>
    </w:p>
    <w:p w14:paraId="677133CE" w14:textId="77777777" w:rsidR="00297E59" w:rsidRPr="00AC14AE" w:rsidRDefault="00297E59" w:rsidP="00297E59">
      <w:pPr>
        <w:pStyle w:val="Ttulo3"/>
        <w:shd w:val="clear" w:color="auto" w:fill="FFFFFF"/>
        <w:spacing w:before="0"/>
        <w:rPr>
          <w:rFonts w:ascii="Arial" w:hAnsi="Arial" w:cs="Arial"/>
          <w:noProof w:val="0"/>
          <w:color w:val="1D2125"/>
          <w:sz w:val="24"/>
          <w:szCs w:val="24"/>
        </w:rPr>
      </w:pPr>
      <w:r w:rsidRPr="00AC14AE">
        <w:rPr>
          <w:rFonts w:ascii="Arial" w:hAnsi="Arial" w:cs="Arial"/>
          <w:color w:val="1D2125"/>
          <w:sz w:val="24"/>
          <w:szCs w:val="24"/>
        </w:rPr>
        <w:t> </w:t>
      </w:r>
      <w:r w:rsidRPr="00AC14AE">
        <w:rPr>
          <w:rFonts w:ascii="Arial" w:hAnsi="Arial" w:cs="Arial"/>
          <w:b/>
          <w:bCs/>
          <w:color w:val="1D2125"/>
          <w:sz w:val="24"/>
          <w:szCs w:val="24"/>
        </w:rPr>
        <w:t>2.2.1.1. Concepto de prueba</w:t>
      </w:r>
    </w:p>
    <w:p w14:paraId="7CDD4358"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Una de las corrientes más aceptadas, según el derecho romano, estima que la palabra prueba, etimológicamente viene del vocablo “</w:t>
      </w:r>
      <w:proofErr w:type="spellStart"/>
      <w:r w:rsidRPr="00AC14AE">
        <w:rPr>
          <w:rFonts w:ascii="Arial" w:hAnsi="Arial" w:cs="Arial"/>
          <w:color w:val="1D2125"/>
        </w:rPr>
        <w:t>probamdun</w:t>
      </w:r>
      <w:proofErr w:type="spellEnd"/>
      <w:r w:rsidRPr="00AC14AE">
        <w:rPr>
          <w:rFonts w:ascii="Arial" w:hAnsi="Arial" w:cs="Arial"/>
          <w:color w:val="1D2125"/>
        </w:rPr>
        <w:t>” que significa encomendar, patentizar, hacer fe.</w:t>
      </w:r>
    </w:p>
    <w:p w14:paraId="4F6D7B2F" w14:textId="77777777" w:rsidR="00297E59" w:rsidRPr="00AC14AE" w:rsidRDefault="00297E59" w:rsidP="00297E59">
      <w:pPr>
        <w:pStyle w:val="NormalWeb"/>
        <w:shd w:val="clear" w:color="auto" w:fill="FFFFFF"/>
        <w:jc w:val="both"/>
        <w:rPr>
          <w:rFonts w:ascii="Arial" w:hAnsi="Arial" w:cs="Arial"/>
          <w:color w:val="1D2125"/>
        </w:rPr>
      </w:pPr>
      <w:r w:rsidRPr="00AC14AE">
        <w:rPr>
          <w:rFonts w:ascii="Arial" w:hAnsi="Arial" w:cs="Arial"/>
          <w:color w:val="1D2125"/>
        </w:rPr>
        <w:t>2.2.1.2. Órgano de prueba</w:t>
      </w:r>
    </w:p>
    <w:p w14:paraId="361B896D"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Es toda persona física encargada de suministrar el conocimiento de los hechos. Estos pueden ser </w:t>
      </w:r>
      <w:proofErr w:type="gramStart"/>
      <w:r w:rsidRPr="00AC14AE">
        <w:rPr>
          <w:rFonts w:ascii="Arial" w:hAnsi="Arial" w:cs="Arial"/>
          <w:color w:val="1D2125"/>
        </w:rPr>
        <w:t>testigos presenciales</w:t>
      </w:r>
      <w:proofErr w:type="gramEnd"/>
      <w:r w:rsidRPr="00AC14AE">
        <w:rPr>
          <w:rFonts w:ascii="Arial" w:hAnsi="Arial" w:cs="Arial"/>
          <w:color w:val="1D2125"/>
        </w:rPr>
        <w:t>, ofendidos, ofensores, peritos, etc.</w:t>
      </w:r>
    </w:p>
    <w:p w14:paraId="5973DBC9" w14:textId="77777777" w:rsidR="00297E59" w:rsidRPr="00AC14AE" w:rsidRDefault="00297E59" w:rsidP="00297E59">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2.2.1.3. Medio de prueba</w:t>
      </w:r>
    </w:p>
    <w:p w14:paraId="4CC388E8" w14:textId="77777777" w:rsidR="00297E59" w:rsidRPr="00AC14AE" w:rsidRDefault="00297E59" w:rsidP="00297E59">
      <w:pPr>
        <w:pStyle w:val="NormalWeb"/>
        <w:shd w:val="clear" w:color="auto" w:fill="FFFFFF"/>
        <w:spacing w:before="0" w:beforeAutospacing="0"/>
        <w:rPr>
          <w:rFonts w:ascii="Arial" w:hAnsi="Arial" w:cs="Arial"/>
          <w:color w:val="1D2125"/>
        </w:rPr>
      </w:pPr>
      <w:r w:rsidRPr="00AC14AE">
        <w:rPr>
          <w:rFonts w:ascii="Arial" w:hAnsi="Arial" w:cs="Arial"/>
          <w:color w:val="1D2125"/>
        </w:rPr>
        <w:t>Es el medio, procedimiento, acto o instrumento establecido en la ley por el que el elemento de prueba se integra al proceso, por ejemplo, el acto de ofrecer al testigo (no su testimonio), el acto de ofrecer al perito (no el peritaje), el documento (no su contenido), la unidad USB (no el archivo que contiene).</w:t>
      </w:r>
    </w:p>
    <w:p w14:paraId="046812CA" w14:textId="77777777" w:rsidR="00297E59" w:rsidRPr="00AC14AE" w:rsidRDefault="00297E59" w:rsidP="00297E59">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2.2.1.4. Elemento de prueba</w:t>
      </w:r>
    </w:p>
    <w:p w14:paraId="27A56F14" w14:textId="77777777" w:rsidR="00297E59" w:rsidRPr="00AC14AE" w:rsidRDefault="00297E59" w:rsidP="00297E59">
      <w:pPr>
        <w:pStyle w:val="NormalWeb"/>
        <w:shd w:val="clear" w:color="auto" w:fill="FFFFFF"/>
        <w:spacing w:before="0" w:beforeAutospacing="0"/>
        <w:jc w:val="both"/>
        <w:rPr>
          <w:rFonts w:ascii="Arial" w:hAnsi="Arial" w:cs="Arial"/>
        </w:rPr>
      </w:pPr>
      <w:r w:rsidRPr="00AC14AE">
        <w:rPr>
          <w:rFonts w:ascii="Arial" w:hAnsi="Arial" w:cs="Arial"/>
          <w:color w:val="1D2125"/>
        </w:rPr>
        <w:t xml:space="preserve">Se le denomina elemento de prueba a todo dato objetivo que se </w:t>
      </w:r>
      <w:r w:rsidRPr="00AC14AE">
        <w:rPr>
          <w:rFonts w:ascii="Arial" w:hAnsi="Arial" w:cs="Arial"/>
        </w:rPr>
        <w:t>incorpora legalmente al proceso capaz de producir un conocimiento cierto o probable. Específicamente, es el aporte que se obtiene de los medios y de los órganos de prueba, por ejemplo, las manifestaciones en el debate oral, los datos del documento, los datos de un peritaje, etc.</w:t>
      </w:r>
    </w:p>
    <w:p w14:paraId="10A325BD" w14:textId="77777777" w:rsidR="00297E59" w:rsidRPr="00AC14AE" w:rsidRDefault="00297E59" w:rsidP="00297E5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Valga en este punto </w:t>
      </w:r>
      <w:proofErr w:type="gramStart"/>
      <w:r w:rsidRPr="00AC14AE">
        <w:rPr>
          <w:rFonts w:ascii="Arial" w:hAnsi="Arial" w:cs="Arial"/>
          <w:color w:val="1D2125"/>
        </w:rPr>
        <w:t>señalar</w:t>
      </w:r>
      <w:proofErr w:type="gramEnd"/>
      <w:r w:rsidRPr="00AC14AE">
        <w:rPr>
          <w:rFonts w:ascii="Arial" w:hAnsi="Arial" w:cs="Arial"/>
          <w:color w:val="1D2125"/>
        </w:rPr>
        <w:t xml:space="preserve"> que </w:t>
      </w:r>
      <w:bookmarkStart w:id="4" w:name="_Hlk193828095"/>
      <w:r w:rsidRPr="00AC14AE">
        <w:rPr>
          <w:rFonts w:ascii="Arial" w:hAnsi="Arial" w:cs="Arial"/>
          <w:color w:val="1D2125"/>
        </w:rPr>
        <w:t>los elementos de prueba deben cumplir con una serie de características para los fines de la investigación preliminar:</w:t>
      </w:r>
    </w:p>
    <w:p w14:paraId="5DEB8479"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1. Pertinente</w:t>
      </w:r>
      <w:r w:rsidRPr="00AC14AE">
        <w:rPr>
          <w:rFonts w:ascii="Arial" w:hAnsi="Arial" w:cs="Arial"/>
          <w:color w:val="1D2125"/>
        </w:rPr>
        <w:t>: Relacionada con el tema investigado.</w:t>
      </w:r>
    </w:p>
    <w:p w14:paraId="2F45F45E"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2. Suficiente</w:t>
      </w:r>
      <w:r w:rsidRPr="00AC14AE">
        <w:rPr>
          <w:rFonts w:ascii="Arial" w:hAnsi="Arial" w:cs="Arial"/>
          <w:color w:val="1D2125"/>
        </w:rPr>
        <w:t>: En cuanto a que describa el fenómeno, hecho o circunstancia.</w:t>
      </w:r>
    </w:p>
    <w:p w14:paraId="29BC8EE5"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3. Conveniente</w:t>
      </w:r>
      <w:r w:rsidRPr="00AC14AE">
        <w:rPr>
          <w:rFonts w:ascii="Arial" w:hAnsi="Arial" w:cs="Arial"/>
          <w:color w:val="1D2125"/>
        </w:rPr>
        <w:t>: Elección del lugar o situación del evento que facilite una labor de registro, sin interferencias.</w:t>
      </w:r>
    </w:p>
    <w:p w14:paraId="41C2AB60"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4. Oportuna</w:t>
      </w:r>
      <w:r w:rsidRPr="00AC14AE">
        <w:rPr>
          <w:rFonts w:ascii="Arial" w:hAnsi="Arial" w:cs="Arial"/>
          <w:color w:val="1D2125"/>
        </w:rPr>
        <w:t>: En el lugar y momento justo con respecto al hecho investigado.</w:t>
      </w:r>
    </w:p>
    <w:p w14:paraId="643566F4"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5. Disponible</w:t>
      </w:r>
      <w:r w:rsidRPr="00AC14AE">
        <w:rPr>
          <w:rFonts w:ascii="Arial" w:hAnsi="Arial" w:cs="Arial"/>
          <w:color w:val="1D2125"/>
        </w:rPr>
        <w:t>: Acceso libre y permanente a los lugares, situaciones o eventos que demanda la investigación.</w:t>
      </w:r>
    </w:p>
    <w:p w14:paraId="6FBB79C0" w14:textId="77777777" w:rsidR="00297E59" w:rsidRPr="00AC14AE" w:rsidRDefault="00297E59" w:rsidP="00297E59">
      <w:pPr>
        <w:pStyle w:val="NormalWeb"/>
        <w:shd w:val="clear" w:color="auto" w:fill="FFFFFF"/>
        <w:spacing w:before="0" w:beforeAutospacing="0"/>
        <w:ind w:left="900"/>
        <w:rPr>
          <w:rFonts w:ascii="Arial" w:hAnsi="Arial" w:cs="Arial"/>
          <w:color w:val="1D2125"/>
        </w:rPr>
      </w:pPr>
      <w:r w:rsidRPr="00AC14AE">
        <w:rPr>
          <w:rStyle w:val="Textoennegrita"/>
          <w:rFonts w:ascii="Arial" w:eastAsiaTheme="majorEastAsia" w:hAnsi="Arial" w:cs="Arial"/>
          <w:color w:val="1D2125"/>
        </w:rPr>
        <w:t>6. Legal</w:t>
      </w:r>
      <w:r w:rsidRPr="00AC14AE">
        <w:rPr>
          <w:rFonts w:ascii="Arial" w:hAnsi="Arial" w:cs="Arial"/>
          <w:color w:val="1D2125"/>
        </w:rPr>
        <w:t>: Licitud de incorporarlos al proceso de investigación.</w:t>
      </w:r>
    </w:p>
    <w:bookmarkEnd w:id="4"/>
    <w:p w14:paraId="7E523CE6" w14:textId="5F6CA497" w:rsidR="000D0AE4" w:rsidRPr="00AC14AE" w:rsidRDefault="000D0AE4" w:rsidP="00297E59">
      <w:pPr>
        <w:pStyle w:val="NormalWeb"/>
        <w:shd w:val="clear" w:color="auto" w:fill="FFFFFF"/>
        <w:spacing w:before="0" w:beforeAutospacing="0"/>
        <w:ind w:left="900"/>
        <w:rPr>
          <w:rFonts w:ascii="Arial" w:hAnsi="Arial" w:cs="Arial"/>
          <w:color w:val="1D2125"/>
        </w:rPr>
      </w:pPr>
      <w:r w:rsidRPr="00AC14AE">
        <w:rPr>
          <w:rFonts w:ascii="Arial" w:hAnsi="Arial" w:cs="Arial"/>
          <w:noProof/>
        </w:rPr>
        <w:drawing>
          <wp:inline distT="0" distB="0" distL="0" distR="0" wp14:anchorId="03F211F1" wp14:editId="0E6B0FAA">
            <wp:extent cx="5612130" cy="4702810"/>
            <wp:effectExtent l="0" t="0" r="7620" b="2540"/>
            <wp:docPr id="73477273" name="Imagen 14" descr="Gráfico, Gráfico de burbuja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77273" name="Imagen 14" descr="Gráfico, Gráfico de burbujas&#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4702810"/>
                    </a:xfrm>
                    <a:prstGeom prst="rect">
                      <a:avLst/>
                    </a:prstGeom>
                    <a:noFill/>
                    <a:ln>
                      <a:noFill/>
                    </a:ln>
                  </pic:spPr>
                </pic:pic>
              </a:graphicData>
            </a:graphic>
          </wp:inline>
        </w:drawing>
      </w:r>
    </w:p>
    <w:p w14:paraId="1835EE1E" w14:textId="77777777" w:rsidR="00CF1DD7" w:rsidRPr="00AC14AE" w:rsidRDefault="00CF1DD7" w:rsidP="00CF1DD7">
      <w:pPr>
        <w:pStyle w:val="NormalWeb"/>
        <w:shd w:val="clear" w:color="auto" w:fill="FFFFFF"/>
        <w:spacing w:before="0" w:beforeAutospacing="0"/>
        <w:jc w:val="both"/>
        <w:rPr>
          <w:rFonts w:ascii="Arial" w:hAnsi="Arial" w:cs="Arial"/>
          <w:color w:val="1D2125"/>
        </w:rPr>
      </w:pPr>
      <w:r w:rsidRPr="00AC14AE">
        <w:rPr>
          <w:rFonts w:ascii="Arial" w:hAnsi="Arial" w:cs="Arial"/>
        </w:rPr>
        <w:t xml:space="preserve">Dentro de las técnicas para la recolección de prueba más comunes se pueden citar: Observación, análisis documental en diferentes medios (papel, cd, audios, videos, etc.), inventarios, encuestas, entrevistas, técnicas de muestreo, peritajes, sin embargo, será el </w:t>
      </w:r>
      <w:r w:rsidRPr="00AC14AE">
        <w:rPr>
          <w:rFonts w:ascii="Arial" w:hAnsi="Arial" w:cs="Arial"/>
          <w:color w:val="1D2125"/>
        </w:rPr>
        <w:t>investigador quien deberá discernir cuáles serán las más aptas para cada situación particular; la elección va a ser casuística y estará limitada a las competencias institucionales y legales, para lo cual es recomendable la colaboración de un profesional en derecho que brinde orientación al equipo de investigación con el fin de mantener la licitud de la prueba.</w:t>
      </w:r>
    </w:p>
    <w:p w14:paraId="67FCBACE" w14:textId="77777777" w:rsidR="00CF1DD7" w:rsidRPr="00AC14AE" w:rsidRDefault="00CF1DD7" w:rsidP="00CF1DD7">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Un ejemplo que se puede considerar, dentro de la valoración de la pertinencia de una técnica, es el caso de las entrevistas o declaraciones de parte, pues tienen una particularidad especial; si bien aportan elementos de prueba, pueden configurarse como tales únicamente cuando sean expresados en el marco del procedimiento administrativo o penal, de manera que, el investigador puede hacer una entrevista o recibir una declaración que le sirva como guía o indicio probatorio para su producto, pero no puede pretender que lo dicho en ese momento tenga la fuerza probatoria que se adquiere exclusivamente cuando se replica en la audiencia. Esta circunstancia particular de estas herramientas hace que exista un nivel de riesgo a la hora de ofrecerlas como prueba, en el tanto, su efectividad depende de la consistencia de lo dicho por el testigo o la parte.</w:t>
      </w:r>
    </w:p>
    <w:p w14:paraId="65975CBB"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rPr>
        <w:t>En ese mismo sentido, algunas técnicas para recolectar prueba o medios de prueba están reguladas en una norma jurídica, como es el caso de la interceptación de comunicaciones, el levantamiento del secreto bancario, el allanamiento de lugares etc., que requieren de una orden judicial, no solo para que adquiera licitud, sino también para evitar consecuencias adversas a quien las ejecute. En ese sentido, se debe tener presente la pertinencia y viabilidad jurídica de planificar y ejecutar algunas diligencias que, aunque sean factibles, como por ejemplo la obtención de información contenida en los correos institucionales del personal, no deben ser llevadas a cabo por el equipo dentro de un procedimiento de investigación preliminar, toda vez que dichas actividades están reguladas y permitidas jurídicamente para investigaciones ejecutadas en el marco de procesos judiciales, por estar de por medio la protección de la esfera privada del servidor.</w:t>
      </w:r>
    </w:p>
    <w:p w14:paraId="7ACD6159"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rPr>
        <w:t xml:space="preserve">Ahora bien, sobre la recopilación de prueba también es importante tener presente </w:t>
      </w:r>
      <w:proofErr w:type="gramStart"/>
      <w:r w:rsidRPr="00AC14AE">
        <w:rPr>
          <w:rFonts w:ascii="Arial" w:hAnsi="Arial" w:cs="Arial"/>
        </w:rPr>
        <w:t>que</w:t>
      </w:r>
      <w:proofErr w:type="gramEnd"/>
      <w:r w:rsidRPr="00AC14AE">
        <w:rPr>
          <w:rFonts w:ascii="Arial" w:hAnsi="Arial" w:cs="Arial"/>
        </w:rPr>
        <w:t xml:space="preserve"> en el procedimiento de investigación, la recolección de la información es imprevista y variable, en función de los hallazgos que se vayan obteniendo conforme avanza el desarrollo del programa de trabajo, de modo que también se deben ir revisando y ajustando las actividades pendientes de realizar, con el objetivo de determinar si algunas se tornaron innecesarias y si deben incluirse otras. Durante ese desarrollo, el investigador debe ir controlando las estrategias de recolección de datos y readecuando el plan, conforme los resultados que va obteniendo.</w:t>
      </w:r>
    </w:p>
    <w:p w14:paraId="341C975B"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rPr>
        <w:t>En cuanto a la cantidad de pruebas necesarias para el caso, esto va a depender del límite de exploración que se autoimponga el investigador en cuanto al grado de precisión y profundidad (objetivos y alcance de la investigación) y finaliza en la medida en que se cumple el plan de trabajo y los objetivos de la investigación en cuanto a los actos investigados y el reproche que se hará a los investigados.</w:t>
      </w:r>
    </w:p>
    <w:p w14:paraId="47E759FF"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rPr>
        <w:t>Una vez que el investigador ha recabado la prueba que lo satisfaga en cantidad y oportunidad, le corresponderá la construcción de una cadena lógica de hechos ordenados, precisos y completos con sustento en los elementos de prueba recabados. Esta construcción es de vital importancia para el procedimiento administrativo que se vaya a tramitar, pues una labor deficiente o apresurada podría llegar a constituirse en un obstáculo para el órgano al cual le compete definir la existencia o no de responsabilidad administrativa, civil o penal. De esta manera, el análisis que haga investigador de los elementos de prueba obtenidos, aplicando su experiencia y conocimiento para interpretarlos es indispensable y de gran interés para la investigación preliminar.</w:t>
      </w:r>
    </w:p>
    <w:p w14:paraId="1174609C" w14:textId="77777777" w:rsidR="00CF1DD7" w:rsidRPr="00AC14AE" w:rsidRDefault="00CF1DD7" w:rsidP="00CF1DD7">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2.2.2. Análisis de la prueba</w:t>
      </w:r>
    </w:p>
    <w:p w14:paraId="38AAF366" w14:textId="77777777" w:rsidR="00CF1DD7" w:rsidRPr="00AC14AE" w:rsidRDefault="00CF1DD7" w:rsidP="00CF1DD7">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Ahora bien, la segunda tarea a desarrollar en la etapa de examen corresponde al análisis progresivo y la interpretación de la información de los hechos que se vayan identificando, con el fin de diagnosticar, a través del método de comparación, la coincidencia entre dichos hechos y las conductas sancionables descritas en la normativa general.</w:t>
      </w:r>
    </w:p>
    <w:p w14:paraId="114868C6"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color w:val="1D2125"/>
        </w:rPr>
        <w:t xml:space="preserve">En esta etapa </w:t>
      </w:r>
      <w:r w:rsidRPr="00AC14AE">
        <w:rPr>
          <w:rFonts w:ascii="Arial" w:hAnsi="Arial" w:cs="Arial"/>
        </w:rPr>
        <w:t>donde se une el conocimiento intelectual de los miembros del equipo con los datos y la información que aportan los medios de prueba obtenidos; se deberá realizar un análisis de los hechos respaldados por las pruebas obtenidas de frente a las disposiciones normativas que establecen el deber ser y el correcto funcionamiento de la Administración, a fin de determinar si existen o no actuaciones u omisiones de los investigados que sean, en apariencia, constitutivos de faltas o delitos generados de responsabilidad subjetiva; esto es lo que se conoce como la teoría del caso.</w:t>
      </w:r>
    </w:p>
    <w:p w14:paraId="21E829CE" w14:textId="77777777" w:rsidR="00CF1DD7" w:rsidRPr="00AC14AE" w:rsidRDefault="00CF1DD7" w:rsidP="00CF1DD7">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Es decir, el producto de esa labor </w:t>
      </w:r>
      <w:proofErr w:type="gramStart"/>
      <w:r w:rsidRPr="00AC14AE">
        <w:rPr>
          <w:rFonts w:ascii="Arial" w:hAnsi="Arial" w:cs="Arial"/>
          <w:color w:val="1D2125"/>
        </w:rPr>
        <w:t>profesional,</w:t>
      </w:r>
      <w:proofErr w:type="gramEnd"/>
      <w:r w:rsidRPr="00AC14AE">
        <w:rPr>
          <w:rFonts w:ascii="Arial" w:hAnsi="Arial" w:cs="Arial"/>
          <w:color w:val="1D2125"/>
        </w:rPr>
        <w:t xml:space="preserve"> será la teoría del caso que será presentada a través de los diferentes productos o informes a emitir, la cual puede ser coincidente o no con la teoría hipotética del caso que se planteó al inicio del proceso de investigación preliminar. Esto es, por ejemplo, que la teoría del caso inicial se tratará de hechos relacionados con una aparente violación a una prohibición del ejercicio de la profesión liberal, pero los resultados del análisis de la prueba desacreditaron la existencia de una infracción a este régimen, sin embargo, puede que esa misma prueba sí revele que se cometieron otras faltas, como una superposición horaria, lo cual también es sancionado conforme al ordenamiento jurídico.</w:t>
      </w:r>
    </w:p>
    <w:p w14:paraId="62988E50" w14:textId="77777777" w:rsidR="00CF1DD7" w:rsidRPr="00AC14AE" w:rsidRDefault="00CF1DD7" w:rsidP="00CF1DD7">
      <w:pPr>
        <w:pStyle w:val="NormalWeb"/>
        <w:shd w:val="clear" w:color="auto" w:fill="FFFFFF"/>
        <w:spacing w:before="0" w:beforeAutospacing="0"/>
        <w:jc w:val="both"/>
        <w:rPr>
          <w:rFonts w:ascii="Arial" w:hAnsi="Arial" w:cs="Arial"/>
        </w:rPr>
      </w:pPr>
      <w:r w:rsidRPr="00AC14AE">
        <w:rPr>
          <w:rFonts w:ascii="Arial" w:hAnsi="Arial" w:cs="Arial"/>
        </w:rPr>
        <w:t>Una vez recopilada y analizada la prueba, es decir, concluida la etapa de examen, se deberá proceder a la creación de un producto, el cual plasmará el resultado obtenido de las labores ejecutadas.</w:t>
      </w:r>
    </w:p>
    <w:p w14:paraId="3ED0DCDE" w14:textId="77777777" w:rsidR="00E83D54" w:rsidRPr="00AC14AE" w:rsidRDefault="00E83D54" w:rsidP="00E83D54">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2.3. Etapa de comunicación de resultados</w:t>
      </w:r>
    </w:p>
    <w:p w14:paraId="6DB602D8" w14:textId="77777777" w:rsidR="00E83D54" w:rsidRPr="00AC14AE" w:rsidRDefault="00E83D54" w:rsidP="00E83D5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Concluida la etapa de examen, se iniciará la etapa de comunicación de resultados. En esta etapa el investigador debe realizar un documento en el que deje plasmado los resultados que arrojaron las acciones ejecutadas en las etapas anteriores; puede recibir distintos tipos de denominación, por ejemplo: informe de investigación preliminar, informe de resultados, relación de hechos, informe final, entre otros.</w:t>
      </w:r>
    </w:p>
    <w:p w14:paraId="7A97FC45" w14:textId="77777777" w:rsidR="00E83D54" w:rsidRPr="00AC14AE" w:rsidRDefault="00E83D54" w:rsidP="00E83D54">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2.3.1. El informe de Investigación Preliminar</w:t>
      </w:r>
    </w:p>
    <w:p w14:paraId="33B5E12C" w14:textId="77777777" w:rsidR="00E83D54" w:rsidRPr="00AC14AE" w:rsidRDefault="00E83D54" w:rsidP="00E83D5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Este es un documento con carácter jurídico, técnico, argumentativo, con contenido ordenado, completo, claro, preciso y circunstanciado, dirigido a la persona con la competencia para decidir sobre el archivo del asunto, la apertura de un procedimiento administrativo o cualquier otra acción que resulte necesaria, por ejemplo, la presentación de una denuncia penal o un proceso judicial.</w:t>
      </w:r>
    </w:p>
    <w:p w14:paraId="638C236F" w14:textId="77777777" w:rsidR="00E83D54" w:rsidRPr="00AC14AE" w:rsidRDefault="00E83D54" w:rsidP="00E83D54">
      <w:pPr>
        <w:pStyle w:val="NormalWeb"/>
        <w:shd w:val="clear" w:color="auto" w:fill="FFFFFF"/>
        <w:spacing w:before="0" w:beforeAutospacing="0"/>
        <w:jc w:val="both"/>
        <w:rPr>
          <w:rFonts w:ascii="Arial" w:hAnsi="Arial" w:cs="Arial"/>
        </w:rPr>
      </w:pPr>
      <w:r w:rsidRPr="00AC14AE">
        <w:rPr>
          <w:rFonts w:ascii="Arial" w:hAnsi="Arial" w:cs="Arial"/>
        </w:rPr>
        <w:t>En este documento, el equipo investigador deberá realizar un esfuerzo para crear un nexo de causalidad entre los hechos acreditados a sujetos plenamente identificados, la prueba recabada y las normas jurídicas aplicables al caso concreto, y concluir sobre la presunta existencia o no de un caso en donde se vislumbre una posible responsabilidad administrativa, civil o penal, o bien, para la toma de otras acciones correctivas.</w:t>
      </w:r>
    </w:p>
    <w:p w14:paraId="123839FC" w14:textId="77777777" w:rsidR="00E83D54" w:rsidRPr="00AC14AE" w:rsidRDefault="00E83D54" w:rsidP="00E83D5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Sobre la estructura de este tipo de informe, hay que tener presente que los productos derivados del proceso de investigación están en función del tipo de presunción de responsabilidades que deriven de cada estudio y, además, deberá atenderse la normativa institucional vigente en cada caso en lo relativo a emisión de informes.</w:t>
      </w:r>
    </w:p>
    <w:p w14:paraId="1215382A" w14:textId="77777777" w:rsidR="00E83D54" w:rsidRPr="00AC14AE" w:rsidRDefault="00E83D54" w:rsidP="00E83D5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Ahora bien, se debe señalar </w:t>
      </w:r>
      <w:proofErr w:type="gramStart"/>
      <w:r w:rsidRPr="00AC14AE">
        <w:rPr>
          <w:rFonts w:ascii="Arial" w:hAnsi="Arial" w:cs="Arial"/>
          <w:color w:val="1D2125"/>
        </w:rPr>
        <w:t>que</w:t>
      </w:r>
      <w:proofErr w:type="gramEnd"/>
      <w:r w:rsidRPr="00AC14AE">
        <w:rPr>
          <w:rFonts w:ascii="Arial" w:hAnsi="Arial" w:cs="Arial"/>
          <w:color w:val="1D2125"/>
        </w:rPr>
        <w:t xml:space="preserve"> para el caso específico de las Auditorías Internas, de conformidad con los "Lineamientos Generales para el análisis de presuntos hechos irregulares” se define la "relación de hechos" como: "(...) Informe que compila una serie de hechos presuntamente irregulares, acciones u omisiones, que se encuentran ligados por un nexo de causalidad a una falta y a un presunto responsable. La Relación de Hechos se pone en conocimiento del jerarca o titular subordinado correspondiente, o de una autoridad competente para que valore la procedencia de la apertura de un procedimiento administrativo o cualquier otra acción que considere pertinente.</w:t>
      </w:r>
    </w:p>
    <w:p w14:paraId="53185EE6" w14:textId="77777777" w:rsidR="00E83D54" w:rsidRPr="00AC14AE" w:rsidRDefault="00E83D54" w:rsidP="00E83D54">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Además, señala que este documento debe tener al menos: </w:t>
      </w:r>
    </w:p>
    <w:p w14:paraId="68FD8DDF" w14:textId="6010177D" w:rsidR="00E83D54" w:rsidRPr="00AC14AE" w:rsidRDefault="005F17E3" w:rsidP="00E83D54">
      <w:pPr>
        <w:pStyle w:val="NormalWeb"/>
        <w:shd w:val="clear" w:color="auto" w:fill="FFFFFF"/>
        <w:spacing w:before="0" w:beforeAutospacing="0"/>
        <w:jc w:val="both"/>
        <w:rPr>
          <w:rFonts w:ascii="Arial" w:hAnsi="Arial" w:cs="Arial"/>
          <w:color w:val="1D2125"/>
        </w:rPr>
      </w:pPr>
      <w:r w:rsidRPr="00AC14AE">
        <w:rPr>
          <w:rFonts w:ascii="Arial" w:hAnsi="Arial" w:cs="Arial"/>
          <w:noProof/>
        </w:rPr>
        <w:drawing>
          <wp:inline distT="0" distB="0" distL="0" distR="0" wp14:anchorId="06DA4F1D" wp14:editId="745CFAB2">
            <wp:extent cx="5612130" cy="4584700"/>
            <wp:effectExtent l="0" t="0" r="7620" b="6350"/>
            <wp:docPr id="803172667" name="Imagen 15" descr="Interfaz de usuario gráfica, Texto,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3172667" name="Imagen 15" descr="Interfaz de usuario gráfica, Texto, Aplicación&#10;&#10;Descripción generada automá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2130" cy="4584700"/>
                    </a:xfrm>
                    <a:prstGeom prst="rect">
                      <a:avLst/>
                    </a:prstGeom>
                    <a:noFill/>
                    <a:ln>
                      <a:noFill/>
                    </a:ln>
                  </pic:spPr>
                </pic:pic>
              </a:graphicData>
            </a:graphic>
          </wp:inline>
        </w:drawing>
      </w:r>
    </w:p>
    <w:p w14:paraId="7016EE75" w14:textId="77777777" w:rsidR="00A53488" w:rsidRPr="00AC14AE" w:rsidRDefault="00A53488" w:rsidP="00A53488">
      <w:pPr>
        <w:pBdr>
          <w:top w:val="single" w:sz="6" w:space="1" w:color="auto"/>
        </w:pBdr>
        <w:spacing w:after="0" w:line="240" w:lineRule="auto"/>
        <w:jc w:val="both"/>
        <w:rPr>
          <w:rFonts w:ascii="Arial" w:hAnsi="Arial" w:cs="Arial"/>
          <w:color w:val="1D2125"/>
          <w:sz w:val="24"/>
          <w:szCs w:val="24"/>
          <w:shd w:val="clear" w:color="auto" w:fill="FFFFFF"/>
        </w:rPr>
      </w:pPr>
      <w:r w:rsidRPr="00AC14AE">
        <w:rPr>
          <w:rFonts w:ascii="Arial" w:hAnsi="Arial" w:cs="Arial"/>
          <w:color w:val="1D2125"/>
          <w:sz w:val="24"/>
          <w:szCs w:val="24"/>
          <w:shd w:val="clear" w:color="auto" w:fill="FFFFFF"/>
        </w:rPr>
        <w:t>Si bien, no existe un único formato de informe de resultados -salvo para el caso de las Auditorías Internas-, con base en la experiencia acumulada en la Contraloría General de la República, se considera que la estructura citada resulta pertinente y plenamente aplicable a toda la Administración, por ello, a continuación se brindan algunas recomendaciones sobre el contenido del informe.</w:t>
      </w:r>
    </w:p>
    <w:p w14:paraId="3AC6E36F" w14:textId="77777777" w:rsidR="00A53488" w:rsidRPr="00AC14AE" w:rsidRDefault="00A53488" w:rsidP="00A53488">
      <w:pPr>
        <w:pBdr>
          <w:top w:val="single" w:sz="6" w:space="1" w:color="auto"/>
        </w:pBdr>
        <w:spacing w:after="0" w:line="240" w:lineRule="auto"/>
        <w:jc w:val="both"/>
        <w:rPr>
          <w:rFonts w:ascii="Arial" w:hAnsi="Arial" w:cs="Arial"/>
          <w:color w:val="1D2125"/>
          <w:sz w:val="24"/>
          <w:szCs w:val="24"/>
          <w:shd w:val="clear" w:color="auto" w:fill="FFFFFF"/>
        </w:rPr>
      </w:pPr>
    </w:p>
    <w:p w14:paraId="7B0FE692" w14:textId="77777777" w:rsidR="00A53488" w:rsidRPr="00AC14AE" w:rsidRDefault="00A53488" w:rsidP="00A53488">
      <w:pPr>
        <w:pStyle w:val="NormalWeb"/>
        <w:shd w:val="clear" w:color="auto" w:fill="FFFFFF"/>
        <w:spacing w:before="0" w:beforeAutospacing="0"/>
        <w:rPr>
          <w:rFonts w:ascii="Arial" w:hAnsi="Arial" w:cs="Arial"/>
          <w:color w:val="1D2125"/>
        </w:rPr>
      </w:pPr>
      <w:r w:rsidRPr="00AC14AE">
        <w:rPr>
          <w:rFonts w:ascii="Arial" w:hAnsi="Arial" w:cs="Arial"/>
          <w:color w:val="1D2125"/>
        </w:rPr>
        <w:t>El producto final debe contener al menos los siguientes elementos:</w:t>
      </w:r>
    </w:p>
    <w:p w14:paraId="2C0D79A8"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Style w:val="Textoennegrita"/>
          <w:rFonts w:ascii="Arial" w:eastAsiaTheme="majorEastAsia" w:hAnsi="Arial" w:cs="Arial"/>
          <w:color w:val="1D2125"/>
        </w:rPr>
        <w:t>a. Señalamiento de los eventuales responsables.</w:t>
      </w:r>
      <w:r w:rsidRPr="00AC14AE">
        <w:rPr>
          <w:rFonts w:ascii="Arial" w:hAnsi="Arial" w:cs="Arial"/>
          <w:color w:val="1D2125"/>
        </w:rPr>
        <w:t> Indicación del nombre, cédula de identidad o jurídica, lugar de trabajo, puesto que ocupa, lugar donde puede ser ubicado y demás calidades que permitan identificar a los posibles responsables de los hechos presuntamente irregulares, con el fin de que eventualmente pueda ser notificado de manera personal de la apertura de un procedimiento administrativo. La falta de alguna de las calidades no impedirá la elaboración del informe, siempre que las restantes calidades permitan la individualización de los posibles implicados.</w:t>
      </w:r>
    </w:p>
    <w:p w14:paraId="1C00FD5F" w14:textId="77777777" w:rsidR="00A53488" w:rsidRPr="00AC14AE" w:rsidRDefault="00A53488" w:rsidP="00A53488">
      <w:pPr>
        <w:pStyle w:val="NormalWeb"/>
        <w:shd w:val="clear" w:color="auto" w:fill="FFFFFF"/>
        <w:spacing w:before="0" w:beforeAutospacing="0"/>
        <w:ind w:left="900"/>
        <w:jc w:val="both"/>
        <w:rPr>
          <w:rFonts w:ascii="Arial" w:hAnsi="Arial" w:cs="Arial"/>
        </w:rPr>
      </w:pPr>
      <w:r w:rsidRPr="00AC14AE">
        <w:rPr>
          <w:rStyle w:val="Textoennegrita"/>
          <w:rFonts w:ascii="Arial" w:eastAsiaTheme="majorEastAsia" w:hAnsi="Arial" w:cs="Arial"/>
          <w:color w:val="1D2125"/>
        </w:rPr>
        <w:t>b. Hechos.</w:t>
      </w:r>
      <w:r w:rsidRPr="00AC14AE">
        <w:rPr>
          <w:rFonts w:ascii="Arial" w:hAnsi="Arial" w:cs="Arial"/>
          <w:color w:val="1D2125"/>
        </w:rPr>
        <w:t xml:space="preserve"> Descripción objetiva, precisa, congruente y en orden cronológico (del hecho más antiguo al más reciente) de las acciones u omisiones que se presumen generadoras de responsabilidad y de aquellos directamente relacionados con éstos, cuya demostración resulte útil o necesaria para la valoración de las presuntas faltas. La descripción debe ser de hechos puros y simples, preferiblemente deberán iniciar con la fecha, evitando la utilización de juicios de valor o la atribución directa de responsabilidades; frases como “evidentemente”, “con claro conocimiento”, “con </w:t>
      </w:r>
      <w:r w:rsidRPr="00AC14AE">
        <w:rPr>
          <w:rFonts w:ascii="Arial" w:hAnsi="Arial" w:cs="Arial"/>
        </w:rPr>
        <w:t>intención”, “negligentemente” no deben ser incluidas. Además, cada hecho debe dar respuesta a las siguientes interrogantes: quién lo hizo, cómo, dónde y cuándo. En la medida de lo posible, cada hecho debe hacer referencia a la prueba en la cual se sustenta, así como la indicación del folio del legajo de prueba donde se ubica y no debe hacerse referencia a normativa, salvo en lo relacionados con los deberes y funciones del presunto responsable.</w:t>
      </w:r>
    </w:p>
    <w:p w14:paraId="706F37C6" w14:textId="26DA2C0A" w:rsidR="00A53488" w:rsidRPr="00AC14AE" w:rsidRDefault="00A53488" w:rsidP="0049522B">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 xml:space="preserve">Es deseable que los hechos se redacten en tiempo verbal pasado. Se debe procurar que el hecho no contenga información o datos que no sirvan o no abonen de ningún modo la teoría del caso, por lo cual los nombres de personas sin ninguna relevancia dentro de la teoría del </w:t>
      </w:r>
      <w:proofErr w:type="gramStart"/>
      <w:r w:rsidRPr="00AC14AE">
        <w:rPr>
          <w:rFonts w:ascii="Arial" w:hAnsi="Arial" w:cs="Arial"/>
          <w:color w:val="1D2125"/>
        </w:rPr>
        <w:t>caso,</w:t>
      </w:r>
      <w:proofErr w:type="gramEnd"/>
      <w:r w:rsidRPr="00AC14AE">
        <w:rPr>
          <w:rFonts w:ascii="Arial" w:hAnsi="Arial" w:cs="Arial"/>
          <w:color w:val="1D2125"/>
        </w:rPr>
        <w:t xml:space="preserve"> preferiblemente no deben ser nombrados o citados. El propósito de esta recomendación es hacer girar el documento y centralizar la atención del lector, alrededor de los aspectos relevantes de la situación presuntamente irregular o ilícita. </w:t>
      </w:r>
    </w:p>
    <w:p w14:paraId="75BBA315" w14:textId="77777777" w:rsidR="00A53488" w:rsidRPr="00AC14AE" w:rsidRDefault="00A53488" w:rsidP="00A53488">
      <w:pPr>
        <w:pStyle w:val="NormalWeb"/>
        <w:shd w:val="clear" w:color="auto" w:fill="FFFFFF"/>
        <w:spacing w:before="0" w:beforeAutospacing="0"/>
        <w:ind w:left="900"/>
        <w:jc w:val="both"/>
        <w:rPr>
          <w:rFonts w:ascii="Arial" w:hAnsi="Arial" w:cs="Arial"/>
        </w:rPr>
      </w:pPr>
      <w:r w:rsidRPr="00AC14AE">
        <w:rPr>
          <w:rStyle w:val="Textoennegrita"/>
          <w:rFonts w:ascii="Arial" w:eastAsiaTheme="majorEastAsia" w:hAnsi="Arial" w:cs="Arial"/>
          <w:color w:val="1D2125"/>
        </w:rPr>
        <w:t>c. Análisis del caso.</w:t>
      </w:r>
      <w:r w:rsidRPr="00AC14AE">
        <w:rPr>
          <w:rFonts w:ascii="Arial" w:hAnsi="Arial" w:cs="Arial"/>
          <w:color w:val="1D2125"/>
        </w:rPr>
        <w:t xml:space="preserve"> Análisis en el que se detalla en forma razonada por qué se estima que los hechos determinados infringen el ordenamiento jurídico aplicable, con indicación expresa de los motivos por los cuales la acción o la omisión del presunto responsable, en relación con la prueba existente, se considera contraria a la norma específica con </w:t>
      </w:r>
      <w:r w:rsidRPr="00AC14AE">
        <w:rPr>
          <w:rFonts w:ascii="Arial" w:hAnsi="Arial" w:cs="Arial"/>
        </w:rPr>
        <w:t xml:space="preserve">la cual se está vinculando. Además, deberá hacerse referencia a los criterios según los cuales se constata la posibilidad de imputar responsabilidades, esto es el dolo (intención o voluntad consciente en la actuación u omisión con resultado dañoso o contrario a derecho) o la culpa grave (sin </w:t>
      </w:r>
      <w:proofErr w:type="gramStart"/>
      <w:r w:rsidRPr="00AC14AE">
        <w:rPr>
          <w:rFonts w:ascii="Arial" w:hAnsi="Arial" w:cs="Arial"/>
        </w:rPr>
        <w:t>voluntad</w:t>
      </w:r>
      <w:proofErr w:type="gramEnd"/>
      <w:r w:rsidRPr="00AC14AE">
        <w:rPr>
          <w:rFonts w:ascii="Arial" w:hAnsi="Arial" w:cs="Arial"/>
        </w:rPr>
        <w:t xml:space="preserve"> pero de igual manera se da el resultado dañoso o contrario a derecho) que puede darse por descuido o falta al deber de cuidado.</w:t>
      </w:r>
    </w:p>
    <w:p w14:paraId="3A6C5C15"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 xml:space="preserve">En caso de estimarse procedente, se deben determinar preliminarmente los posibles daños y perjuicios ocasionados por los eventuales responsables, indicando el método utilizado para su estimación, e individualizándolos, de ser posible, o aportando los elementos que permitan realizar esa estimación. Tratándose de delitos funcionales, no es necesario realizar esta estimación de daños, pues en éstos, el bien jurídico tutelado son los deberes de la función pública, </w:t>
      </w:r>
      <w:proofErr w:type="gramStart"/>
      <w:r w:rsidRPr="00AC14AE">
        <w:rPr>
          <w:rFonts w:ascii="Arial" w:hAnsi="Arial" w:cs="Arial"/>
          <w:color w:val="1D2125"/>
        </w:rPr>
        <w:t>como</w:t>
      </w:r>
      <w:proofErr w:type="gramEnd"/>
      <w:r w:rsidRPr="00AC14AE">
        <w:rPr>
          <w:rFonts w:ascii="Arial" w:hAnsi="Arial" w:cs="Arial"/>
          <w:color w:val="1D2125"/>
        </w:rPr>
        <w:t xml:space="preserve"> por ejemplo, el deber de probidad (artículo 3 LCCEIP).</w:t>
      </w:r>
    </w:p>
    <w:p w14:paraId="6A156A6B"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Style w:val="Textoennegrita"/>
          <w:rFonts w:ascii="Arial" w:eastAsiaTheme="majorEastAsia" w:hAnsi="Arial" w:cs="Arial"/>
          <w:color w:val="1D2125"/>
        </w:rPr>
        <w:t>d. Prueba ofrecida.</w:t>
      </w:r>
      <w:r w:rsidRPr="00AC14AE">
        <w:rPr>
          <w:rFonts w:ascii="Arial" w:hAnsi="Arial" w:cs="Arial"/>
          <w:color w:val="1D2125"/>
        </w:rPr>
        <w:t> Indicación taxativa de la prueba que sustenta los hechos y el análisis efectuado, pudiendo utilizarse toda aquella permitida por el ordenamiento jurídico. Dentro de este apartado deben consignarse los elementos que permitan en un eventual procedimiento sancionatorio llevar esa prueba al proceso, para ser valorada.</w:t>
      </w:r>
    </w:p>
    <w:p w14:paraId="52A06E13" w14:textId="77777777" w:rsidR="00A53488" w:rsidRPr="00AC14AE" w:rsidRDefault="00A53488" w:rsidP="00A53488">
      <w:pPr>
        <w:pStyle w:val="NormalWeb"/>
        <w:shd w:val="clear" w:color="auto" w:fill="FFFFFF"/>
        <w:spacing w:before="0" w:beforeAutospacing="0"/>
        <w:ind w:left="900"/>
        <w:jc w:val="both"/>
        <w:rPr>
          <w:rFonts w:ascii="Arial" w:hAnsi="Arial" w:cs="Arial"/>
        </w:rPr>
      </w:pPr>
      <w:r w:rsidRPr="00AC14AE">
        <w:rPr>
          <w:rFonts w:ascii="Arial" w:hAnsi="Arial" w:cs="Arial"/>
          <w:color w:val="1D2125"/>
        </w:rPr>
        <w:t xml:space="preserve">Es aconsejable que los documentos sean originales o fotocopia certificada de aquéllos, pues los documentos </w:t>
      </w:r>
      <w:r w:rsidRPr="00AC14AE">
        <w:rPr>
          <w:rFonts w:ascii="Arial" w:hAnsi="Arial" w:cs="Arial"/>
        </w:rPr>
        <w:t>originales deberán siempre permanecer en custodia de la Administración Pública a la cual se le requirió. En un anexo se detallan esos documentos, los cuales deben estar debidamente foliados y ordenados en estricto orden cronológico. La prueba testimonial se refiere a particulares o funcionarios públicos que puedan ofrecer información adicional sobre el caso. Se requiere indicar con claridad su nombre, número de cédula de identidad, ocupación y dirección donde se les pueda localizar. Además de los documentos y testimonios se pueden aportar estudios periciales, fotografías, vídeos y discos compactos con información atinente al asunto.</w:t>
      </w:r>
    </w:p>
    <w:p w14:paraId="6FABBB9F"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Style w:val="Textoennegrita"/>
          <w:rFonts w:ascii="Arial" w:eastAsiaTheme="majorEastAsia" w:hAnsi="Arial" w:cs="Arial"/>
          <w:color w:val="1D2125"/>
        </w:rPr>
        <w:t>e. Consideraciones finales.</w:t>
      </w:r>
      <w:r w:rsidRPr="00AC14AE">
        <w:rPr>
          <w:rFonts w:ascii="Arial" w:hAnsi="Arial" w:cs="Arial"/>
          <w:color w:val="1D2125"/>
        </w:rPr>
        <w:t> Solicitud que se realiza a la instancia administrativa o judicial receptora de la relación de hechos o de la denuncia penal, para que determine la pertinencia de instaurar o instruir algún tipo de procedimiento o proceso judicial, que permita conocer la verdad real de los hechos y acreditar las eventuales responsabilidades que posibiliten -en caso de proceder- la aplicación de las sanciones previstas por el ordenamiento jurídico. Si se considera que también existe eventual responsabilidad civil, procede incluir una solicitud adicional para que se valore esa responsabilidad.</w:t>
      </w:r>
    </w:p>
    <w:p w14:paraId="2A49B21B"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Una vez finalizado el informe de investigación preliminar, deberá remitirse a la instancia competente mediante oficio formal, acompañado del legajo de prueba (compuesto por documentos originales, o bien, su copia debidamente certificada) a fin de que valore el inicio o no de un procedimiento administrativo sancionador, conforme a la normativa específica que le sea aplicable.</w:t>
      </w:r>
    </w:p>
    <w:p w14:paraId="68428CA6" w14:textId="77777777" w:rsidR="00A53488" w:rsidRPr="00AC14AE" w:rsidRDefault="00A53488" w:rsidP="00A53488">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2.3.2. Denuncias de naturaleza penal</w:t>
      </w:r>
    </w:p>
    <w:p w14:paraId="5C1AAA26"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La denuncia penal es un documento para poner en conocimiento del Ministerio Público, para lo de su competencia, cualquier hecho que se presume delictivo y que podría constituir un delito. El deber de denunciar pesará sobre el servidor público cuando en el ejercicio de sus funciones tenga conocimiento de cualquier presunto hecho delictivo, sin importar si no guarda relación con sus competencias, ni con las facultades constitucionales, ni legales de la institución para la cual labora (esto con fundamento en los artículos 278 y 281 del Código Procesal Penal).</w:t>
      </w:r>
    </w:p>
    <w:p w14:paraId="05FE5896"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La estructura de la denuncia penal debe reunir los mismos apartes descritos del informe de la investigación preliminar y, adicionalmente, es recomendable agregar algunas consideraciones adicionales. Veamos:</w:t>
      </w:r>
    </w:p>
    <w:p w14:paraId="099931BC"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a. Solicitud de aplicación de los artículos 365 del Código Penal y 59 de </w:t>
      </w:r>
      <w:r w:rsidRPr="00AC14AE">
        <w:rPr>
          <w:rFonts w:ascii="Arial" w:hAnsi="Arial" w:cs="Arial"/>
          <w:color w:val="333333"/>
        </w:rPr>
        <w:t>la LCCEIFP</w:t>
      </w:r>
      <w:r w:rsidRPr="00AC14AE">
        <w:rPr>
          <w:rFonts w:ascii="Arial" w:hAnsi="Arial" w:cs="Arial"/>
          <w:color w:val="1D2125"/>
        </w:rPr>
        <w:t>. Se deberá solicitar a la autoridad judicial respectiva, en aplicación de los artículos referenciados y en caso de sentencia condenatoria, imponer como pena accesoria la inhabilitación para el ejercicio del cargo por un plazo acorde con la gravedad de los hechos.</w:t>
      </w:r>
    </w:p>
    <w:p w14:paraId="5515B876"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b. Determinación del daño y perjuicio económico: Cuando sea factible establecer un monto que demuestre la existencia de un daño y/o perjuicio resultante de la comisión del delito, se deberá indicar la cuantificación aproximada de éste, así como el método utilizado para realizar la estimación.</w:t>
      </w:r>
    </w:p>
    <w:p w14:paraId="3D52656D" w14:textId="77777777" w:rsidR="00A53488" w:rsidRPr="00AC14AE" w:rsidRDefault="00A53488" w:rsidP="00A53488">
      <w:pPr>
        <w:pStyle w:val="NormalWeb"/>
        <w:shd w:val="clear" w:color="auto" w:fill="FFFFFF"/>
        <w:spacing w:before="0" w:beforeAutospacing="0"/>
        <w:ind w:left="900"/>
        <w:jc w:val="both"/>
        <w:rPr>
          <w:rFonts w:ascii="Arial" w:hAnsi="Arial" w:cs="Arial"/>
          <w:color w:val="1D2125"/>
        </w:rPr>
      </w:pPr>
      <w:r w:rsidRPr="00AC14AE">
        <w:rPr>
          <w:rFonts w:ascii="Arial" w:hAnsi="Arial" w:cs="Arial"/>
          <w:color w:val="1D2125"/>
        </w:rPr>
        <w:t>c. Lugar o medio para recibir notificaciones: Se debe solicitar al Ministerio Público mantener informada a la Auditoría Interna sobre las resoluciones atinentes a la denuncia presentada, para lo cual se debe señalar con claridad el lugar o medio para recibir notificaciones, así como el nombre del funcionario a quien éstas deben ser dirigidas.</w:t>
      </w:r>
    </w:p>
    <w:p w14:paraId="1D09E948"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Cabe aclarar que si bien los Lineamientos de repetida cita (punto 3.4.c) disponen que en el caso de las denuncias elaboradas por las Auditorías Internas corresponde a ellas mismas interponerlas ante el Ministerio Público, se ha admitido de que lo haga la Asesoría Jurídica Institucional en el caso de que cuente con un abogado penalista, siempre y cuando se haga del conocimiento de la Auditoría Interna para que ésta le pueda darle seguimiento.</w:t>
      </w:r>
    </w:p>
    <w:p w14:paraId="20472B1A" w14:textId="77777777" w:rsidR="00A53488" w:rsidRPr="00AC14AE" w:rsidRDefault="00A53488" w:rsidP="00A53488">
      <w:pPr>
        <w:pStyle w:val="NormalWeb"/>
        <w:shd w:val="clear" w:color="auto" w:fill="FFFFFF"/>
        <w:spacing w:before="0" w:beforeAutospacing="0"/>
        <w:ind w:left="708" w:hanging="708"/>
        <w:jc w:val="both"/>
        <w:rPr>
          <w:rFonts w:ascii="Arial" w:hAnsi="Arial" w:cs="Arial"/>
          <w:color w:val="1D2125"/>
        </w:rPr>
      </w:pPr>
      <w:r w:rsidRPr="00AC14AE">
        <w:rPr>
          <w:rFonts w:ascii="Arial" w:hAnsi="Arial" w:cs="Arial"/>
          <w:color w:val="1D2125"/>
        </w:rPr>
        <w:t>Finalmente, sobre la etapa de comunicación de resultados debemos recordar que, en el caso de que exista un denunciante, el artículo 24 del Reglamento a la LCCEIFP dispone que los resultados de la investigación deberán ser comunicados al denunciante que haya señalado un lugar o medio para tal efecto. Sin embargo, debe tenerse claro que esto no implica dar acceso al denunciante al informe final de la investigación preliminar o a documentación u otras evidencias de la investigación que puedan originar la apertura de un procedimiento administrativo o la interposición de un proceso judicial. Más adelante volveremos sobre este tema.</w:t>
      </w:r>
    </w:p>
    <w:p w14:paraId="654D43E8" w14:textId="77777777" w:rsidR="00A53488" w:rsidRPr="00AC14AE" w:rsidRDefault="00A53488" w:rsidP="00A53488">
      <w:pPr>
        <w:pStyle w:val="Ttulo3"/>
        <w:shd w:val="clear" w:color="auto" w:fill="FFFFFF"/>
        <w:spacing w:before="0"/>
        <w:rPr>
          <w:rFonts w:ascii="Arial" w:hAnsi="Arial" w:cs="Arial"/>
          <w:noProof w:val="0"/>
          <w:color w:val="1D2125"/>
          <w:sz w:val="24"/>
          <w:szCs w:val="24"/>
        </w:rPr>
      </w:pPr>
      <w:r w:rsidRPr="00AC14AE">
        <w:rPr>
          <w:rFonts w:ascii="Arial" w:hAnsi="Arial" w:cs="Arial"/>
          <w:b/>
          <w:bCs/>
          <w:color w:val="1D2125"/>
          <w:sz w:val="24"/>
          <w:szCs w:val="24"/>
        </w:rPr>
        <w:t>2.4. Etapa de Seguimiento</w:t>
      </w:r>
    </w:p>
    <w:p w14:paraId="603315B6"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De conformidad con lo dispuesto en las Normas generales de auditoría para el sector público (2014, 11 de agosto), resolución n.º R-DC-64-2014 emitidas por la CGR, existe una obligación para las Auditorías Internas del sector público de dar seguimiento a los informes de investigación preliminar e implementar los mecanismos necesarios para velar porque el asunto sea conocido por la Administración.</w:t>
      </w:r>
    </w:p>
    <w:p w14:paraId="22D4DFAE"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ocasiones, surge la duda sobre el alcance del seguimiento que debe dar la Auditoría Interna, especialmente, en aquellos casos en que la Administración decide archivar el caso; en estos supuestos, la Contraloría General ha manifestado que “(...) resulta conveniente que el auditor interno conozca el resultado de su trabajo, respecto a la decisión del órgano competente sobre el mérito para abrir o no el procedimiento administrativo recomendado, esto como una especie de seguimiento, el cual finalizaría con el conocimiento de dicha decisión (...)”. Contraloría General de la República n.º 3473 (DFOE-ST-0018) (2017).</w:t>
      </w:r>
    </w:p>
    <w:p w14:paraId="5B95D3A7" w14:textId="77777777" w:rsidR="00A53488" w:rsidRPr="00AC14AE" w:rsidRDefault="00A53488" w:rsidP="00A53488">
      <w:pPr>
        <w:pStyle w:val="NormalWeb"/>
        <w:shd w:val="clear" w:color="auto" w:fill="FFFFFF"/>
        <w:spacing w:before="0" w:beforeAutospacing="0"/>
        <w:jc w:val="both"/>
        <w:rPr>
          <w:rFonts w:ascii="Arial" w:hAnsi="Arial" w:cs="Arial"/>
        </w:rPr>
      </w:pPr>
      <w:r w:rsidRPr="00AC14AE">
        <w:rPr>
          <w:rFonts w:ascii="Arial" w:hAnsi="Arial" w:cs="Arial"/>
        </w:rPr>
        <w:t xml:space="preserve">En el resto de los casos, puede suceder </w:t>
      </w:r>
      <w:proofErr w:type="gramStart"/>
      <w:r w:rsidRPr="00AC14AE">
        <w:rPr>
          <w:rFonts w:ascii="Arial" w:hAnsi="Arial" w:cs="Arial"/>
        </w:rPr>
        <w:t>que</w:t>
      </w:r>
      <w:proofErr w:type="gramEnd"/>
      <w:r w:rsidRPr="00AC14AE">
        <w:rPr>
          <w:rFonts w:ascii="Arial" w:hAnsi="Arial" w:cs="Arial"/>
        </w:rPr>
        <w:t xml:space="preserve"> por el tipo de nombramiento o delegación de funciones asignadas, la labor del órgano de la investigación concluya con la remisión del informe al sujeto competente y </w:t>
      </w:r>
      <w:proofErr w:type="gramStart"/>
      <w:r w:rsidRPr="00AC14AE">
        <w:rPr>
          <w:rFonts w:ascii="Arial" w:hAnsi="Arial" w:cs="Arial"/>
        </w:rPr>
        <w:t>que</w:t>
      </w:r>
      <w:proofErr w:type="gramEnd"/>
      <w:r w:rsidRPr="00AC14AE">
        <w:rPr>
          <w:rFonts w:ascii="Arial" w:hAnsi="Arial" w:cs="Arial"/>
        </w:rPr>
        <w:t xml:space="preserve"> por ende, la labor de seguimiento no le es aplicable. No obstante, la Administración (a través de sus dependencias encargadas) debe realizar siempre el seguimiento y mantener información actualizada sobre el trámite y resultados de sus Investigaciones Preliminares.</w:t>
      </w:r>
    </w:p>
    <w:p w14:paraId="1DE58569"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este punto, se debe tener presente que quien puede ordenar el inicio de un proceso sancionatorio es el sujeto competente según la estructura de la administración que se trate, por eso, en nuestro rol de investigadores, se sugiere no perder la oportunidad de aplicar, como una sana práctica, un recordatorio a este sujeto sobre el deber que sobre él recae de adoptar los actos correspondientes según lo establece el ordenamiento jurídico, así como la posibilidad de que le puedan recaer responsabilidades posteriores en el eventual caso de que no dé el trámite correspondiente al caso presentado en el informe.</w:t>
      </w:r>
    </w:p>
    <w:p w14:paraId="093BDB86" w14:textId="77777777" w:rsidR="00A53488" w:rsidRPr="00AC14AE" w:rsidRDefault="00A53488" w:rsidP="00A53488">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este sentido, el artículo 23 de la RLCCEIFP establece que: “(...) Una vez concluida la investigación preliminar, la autoridad respectiva deberá adoptar los actos correspondientes conforme el ordenamiento jurídico (...)”.</w:t>
      </w:r>
    </w:p>
    <w:p w14:paraId="6A22486B" w14:textId="1B69EC9A" w:rsidR="00132B70" w:rsidRDefault="00A53488" w:rsidP="00132B70">
      <w:pPr>
        <w:pStyle w:val="Ttulo2"/>
        <w:spacing w:before="0"/>
        <w:rPr>
          <w:rFonts w:ascii="Arial" w:hAnsi="Arial" w:cs="Arial"/>
          <w:b/>
          <w:bCs/>
          <w:color w:val="1D2125"/>
          <w:sz w:val="24"/>
          <w:szCs w:val="24"/>
        </w:rPr>
      </w:pPr>
      <w:r w:rsidRPr="00AC14AE">
        <w:rPr>
          <w:rFonts w:ascii="Arial" w:hAnsi="Arial" w:cs="Arial"/>
          <w:color w:val="FFFFFF"/>
          <w:sz w:val="24"/>
          <w:szCs w:val="24"/>
        </w:rPr>
        <w:t>-</w:t>
      </w:r>
      <w:r w:rsidR="008C62B2" w:rsidRPr="00AC14AE">
        <w:rPr>
          <w:rFonts w:ascii="Arial" w:hAnsi="Arial" w:cs="Arial"/>
          <w:b/>
          <w:bCs/>
          <w:color w:val="1D2125"/>
          <w:sz w:val="24"/>
          <w:szCs w:val="24"/>
        </w:rPr>
        <w:t>Tópico n.º 4: Regulación de la confidencialidad</w:t>
      </w:r>
      <w:r w:rsidR="00132B70">
        <w:rPr>
          <w:rFonts w:ascii="Arial" w:hAnsi="Arial" w:cs="Arial"/>
          <w:b/>
          <w:bCs/>
          <w:color w:val="1D2125"/>
          <w:sz w:val="24"/>
          <w:szCs w:val="24"/>
        </w:rPr>
        <w:t xml:space="preserve"> </w:t>
      </w:r>
      <w:r w:rsidR="008C62B2" w:rsidRPr="00AC14AE">
        <w:rPr>
          <w:rFonts w:ascii="Arial" w:hAnsi="Arial" w:cs="Arial"/>
          <w:b/>
          <w:bCs/>
          <w:color w:val="1D2125"/>
          <w:sz w:val="24"/>
          <w:szCs w:val="24"/>
        </w:rPr>
        <w:t>en las investigaciones preliminares</w:t>
      </w:r>
      <w:r w:rsidR="00132B70">
        <w:rPr>
          <w:rFonts w:ascii="Arial" w:hAnsi="Arial" w:cs="Arial"/>
          <w:b/>
          <w:bCs/>
          <w:color w:val="1D2125"/>
          <w:sz w:val="24"/>
          <w:szCs w:val="24"/>
        </w:rPr>
        <w:t>.</w:t>
      </w:r>
    </w:p>
    <w:p w14:paraId="48236538" w14:textId="1F0B6082" w:rsidR="001F3F6E" w:rsidRPr="00132B70" w:rsidRDefault="00A53488" w:rsidP="00132B70">
      <w:pPr>
        <w:pStyle w:val="Ttulo2"/>
        <w:spacing w:before="0"/>
        <w:rPr>
          <w:rFonts w:ascii="Arial" w:hAnsi="Arial" w:cs="Arial"/>
          <w:b/>
          <w:bCs/>
          <w:color w:val="1D2125"/>
          <w:sz w:val="24"/>
          <w:szCs w:val="24"/>
        </w:rPr>
      </w:pPr>
      <w:r w:rsidRPr="00AC14AE">
        <w:rPr>
          <w:rFonts w:ascii="Arial" w:hAnsi="Arial" w:cs="Arial"/>
          <w:color w:val="1D2125"/>
          <w:sz w:val="24"/>
          <w:szCs w:val="24"/>
        </w:rPr>
        <w:br/>
      </w:r>
      <w:r w:rsidR="001F3F6E" w:rsidRPr="00AC14AE">
        <w:rPr>
          <w:rFonts w:ascii="Arial" w:hAnsi="Arial" w:cs="Arial"/>
          <w:b/>
          <w:bCs/>
          <w:color w:val="1D2125"/>
          <w:sz w:val="24"/>
          <w:szCs w:val="24"/>
        </w:rPr>
        <w:t>1. Confidencialidad de la investigación preliminar</w:t>
      </w:r>
      <w:r w:rsidR="00132B70">
        <w:rPr>
          <w:rFonts w:ascii="Arial" w:hAnsi="Arial" w:cs="Arial"/>
          <w:b/>
          <w:bCs/>
          <w:color w:val="1D2125"/>
          <w:sz w:val="24"/>
          <w:szCs w:val="24"/>
        </w:rPr>
        <w:t>.</w:t>
      </w:r>
    </w:p>
    <w:p w14:paraId="10EEE85E" w14:textId="77777777" w:rsidR="001F3F6E" w:rsidRPr="00AC14AE" w:rsidRDefault="001F3F6E" w:rsidP="00DB7AC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los últimos años la Administración Pública ha vivido marcadas tendencias de renovación en el reconocimiento del derecho de acceso a la información pública en procura de los principios de transparencia y la rendición de cuentas. Se promueve que la mayor cantidad de información sea de acceso público para los ciudadanos y que sólo en casos, realmente justificados, prive la confidencialidad o restricción a la documentación de la administración pública.</w:t>
      </w:r>
    </w:p>
    <w:p w14:paraId="38551B84" w14:textId="77777777" w:rsidR="001F3F6E" w:rsidRPr="00AC14AE" w:rsidRDefault="001F3F6E" w:rsidP="00DB7AC9">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este último escenario, precisamente, se encuentra la información relacionada con el proceso de investigación, pues para procurar la satisfacción del interés público en la materia de detección y sanción de actos irregulares contra el ordenamiento jurídico, es que se procura que, tanto el proceso de investigación como el de establecimiento de sanciones (procedimiento administrativo) sea confidencial, pues con ello se busca evitar manipulaciones, presiones, distorsiones o entorpecimiento en el ejercicio de esta labor.</w:t>
      </w:r>
    </w:p>
    <w:p w14:paraId="340D67BA" w14:textId="77777777" w:rsidR="001F3F6E" w:rsidRPr="00AC14AE" w:rsidRDefault="001F3F6E" w:rsidP="00B23400">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Así, en tanto la investigación preliminar se encuentre en curso, toda la información y documentos recopilados deberán tener un carácter reservado, es decir, no podrá ponerse a disposición de cualquier persona que no sea parte integrante del equipo investigador y, en esa medida, un tercero no podrá apelar al derecho de acceso a la información administrativa.</w:t>
      </w:r>
    </w:p>
    <w:p w14:paraId="01511D12" w14:textId="77777777" w:rsidR="001F3F6E" w:rsidRPr="00AC14AE" w:rsidRDefault="001F3F6E" w:rsidP="00B23400">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Esto por cuanto, resulta importante mantener fuera del acceso de los ciudadanos y, más aún, de medios de comunicación colectiva, el expediente e información relevante de la investigación que se lleva a cabo, para así evitar la emisión de criterios que puedan afectar en alguna medida los resultados de la investigación o, incluso, los derechos fundamentales de las personas que están siendo investigadas.</w:t>
      </w:r>
    </w:p>
    <w:p w14:paraId="1FD4EE7E" w14:textId="77777777" w:rsidR="001F3F6E" w:rsidRPr="00AC14AE" w:rsidRDefault="001F3F6E" w:rsidP="00B23400">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En relación con el tema se aclara que, según reiterada jurisprudencia de nuestro Tribunal Constitucional, en el caso que existan personas denunciantes, si bien estos no tienen derecho a conocer el expediente de la investigación preliminar, si poseen un derecho de recibir una respuesta a su gestión en un plazo razonable. En otras palabras, se les debe de informar si, producto de la denuncia entablada, se dio apertura a una investigación preliminar, más no se les debe de otorgar acceso al expediente de dicha investigación. Véase en este sentido Sala Constitucional, n.º 16474-2007. (2007).</w:t>
      </w:r>
    </w:p>
    <w:p w14:paraId="46CE1F08" w14:textId="447315DE" w:rsidR="001F3F6E" w:rsidRPr="00AC14AE" w:rsidRDefault="001F3F6E" w:rsidP="0009397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Asimismo, debe tomarse en consideración que, en caso de estimarlo necesario, el equipo investigador pueda decidir la conveniencia de revelar ciertos detalles que considere necesarios, al solicitar información o colaboración </w:t>
      </w:r>
      <w:proofErr w:type="spellStart"/>
      <w:r w:rsidR="00DF558A">
        <w:rPr>
          <w:rFonts w:ascii="Arial" w:hAnsi="Arial" w:cs="Arial"/>
          <w:color w:val="1D2125"/>
        </w:rPr>
        <w:t>E</w:t>
      </w:r>
      <w:r w:rsidRPr="00AC14AE">
        <w:rPr>
          <w:rFonts w:ascii="Arial" w:hAnsi="Arial" w:cs="Arial"/>
          <w:color w:val="1D2125"/>
        </w:rPr>
        <w:t>de</w:t>
      </w:r>
      <w:proofErr w:type="spellEnd"/>
      <w:r w:rsidRPr="00AC14AE">
        <w:rPr>
          <w:rFonts w:ascii="Arial" w:hAnsi="Arial" w:cs="Arial"/>
          <w:color w:val="1D2125"/>
        </w:rPr>
        <w:t xml:space="preserve"> personas que, por su especial condición puedan colaborar en la investigación del caso, sea a lo interno de la administración, o inclusive, a nivel interinstitucional. Lo anterior, sin que se pueda entender que se ha perdido el carácter confidencial de la información, sino más bien, que estas personas se obligan a resguardar también dicha confidencialidad. Un claro ejemplo de lo anterior es cuando la administración, en el curso de una investigación, solicita un peritaje a un profesional experto.</w:t>
      </w:r>
    </w:p>
    <w:p w14:paraId="6C895147" w14:textId="77777777" w:rsidR="001F3F6E" w:rsidRPr="00AC14AE" w:rsidRDefault="001F3F6E" w:rsidP="0009397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Sobre el particular, vale hacer mención </w:t>
      </w:r>
      <w:proofErr w:type="gramStart"/>
      <w:r w:rsidRPr="00AC14AE">
        <w:rPr>
          <w:rFonts w:ascii="Arial" w:hAnsi="Arial" w:cs="Arial"/>
          <w:color w:val="1D2125"/>
        </w:rPr>
        <w:t>a</w:t>
      </w:r>
      <w:proofErr w:type="gramEnd"/>
      <w:r w:rsidRPr="00AC14AE">
        <w:rPr>
          <w:rFonts w:ascii="Arial" w:hAnsi="Arial" w:cs="Arial"/>
          <w:color w:val="1D2125"/>
        </w:rPr>
        <w:t xml:space="preserve"> la LCCEIFP, la cual regula, mediante los numerales 8 y 10, la confidencialidad de la información proveniente de una investigación preliminar, así como las limitaciones de acceso al expediente administrativo respectivo. Asimismo, el artículo 6 de la LGCI, dispone la confidencialidad de los denunciantes y de los estudios que originen la apertura de un procedimiento administrativo.</w:t>
      </w:r>
    </w:p>
    <w:p w14:paraId="6B00115E" w14:textId="77777777" w:rsidR="001F3F6E" w:rsidRPr="00AC14AE" w:rsidRDefault="001F3F6E" w:rsidP="0009397E">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Esta posición ha sido, además, la mantenida por el Órgano Contralor. A manera de ejemplo se puede ver Contraloría General de la República, </w:t>
      </w:r>
      <w:proofErr w:type="spellStart"/>
      <w:r w:rsidRPr="00AC14AE">
        <w:rPr>
          <w:rFonts w:ascii="Arial" w:hAnsi="Arial" w:cs="Arial"/>
          <w:color w:val="1D2125"/>
        </w:rPr>
        <w:t>n.°</w:t>
      </w:r>
      <w:proofErr w:type="spellEnd"/>
      <w:r w:rsidRPr="00AC14AE">
        <w:rPr>
          <w:rFonts w:ascii="Arial" w:hAnsi="Arial" w:cs="Arial"/>
          <w:color w:val="1D2125"/>
        </w:rPr>
        <w:t xml:space="preserve"> 02392 (DJ-0251-2012), en que se dispuso:</w:t>
      </w:r>
    </w:p>
    <w:p w14:paraId="58A4AF71" w14:textId="7C0944B2" w:rsidR="0037343D" w:rsidRPr="00AC14AE" w:rsidRDefault="0037343D" w:rsidP="00755833">
      <w:pPr>
        <w:pStyle w:val="NormalWeb"/>
        <w:shd w:val="clear" w:color="auto" w:fill="FFFFFF"/>
        <w:spacing w:before="0" w:beforeAutospacing="0"/>
        <w:jc w:val="both"/>
        <w:rPr>
          <w:rFonts w:ascii="Arial" w:hAnsi="Arial" w:cs="Arial"/>
          <w:color w:val="1D2125"/>
        </w:rPr>
      </w:pPr>
      <w:r w:rsidRPr="00AC14AE">
        <w:rPr>
          <w:rStyle w:val="nfasis"/>
          <w:rFonts w:ascii="Arial" w:eastAsiaTheme="majorEastAsia" w:hAnsi="Arial" w:cs="Arial"/>
          <w:color w:val="1D2125"/>
          <w:shd w:val="clear" w:color="auto" w:fill="C8BBFC"/>
        </w:rPr>
        <w:t>..) las relaciones de hechos constituyen documentos de acceso limitado y sobre los cuales existe una garantía de confidencialidad (...) ya que en esos informes se hace un juicio de probabilidad sobre el grado de participación de las personas involucradas en los hechos descritos, su culpabilidad en relación con las actuaciones que se investigan y la posible responsabilidad administrativa, civil o penal que ello les puede generar, por lo que no procede su publicación hasta tanto no se finalice el procedimiento administrativo (...)”</w:t>
      </w:r>
      <w:r w:rsidRPr="00AC14AE">
        <w:rPr>
          <w:rFonts w:ascii="Arial" w:hAnsi="Arial" w:cs="Arial"/>
          <w:color w:val="1D2125"/>
          <w:shd w:val="clear" w:color="auto" w:fill="C8BBFC"/>
        </w:rPr>
        <w:t>.</w:t>
      </w:r>
    </w:p>
    <w:p w14:paraId="0122398B" w14:textId="21E34357" w:rsidR="001F3F6E" w:rsidRPr="00AC14AE" w:rsidRDefault="001F3F6E" w:rsidP="00755833">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Adicionalmente, es importante tener en cuenta que, si se desestiman o archivan los hechos investigados, cesa el velo de confidencialidad, sea que el expediente se torna en público, salvo aquella documentación que, por su propia naturaleza y mandato de ley especial, tenga el carácter de confidencial. </w:t>
      </w:r>
      <w:proofErr w:type="gramStart"/>
      <w:r w:rsidRPr="00AC14AE">
        <w:rPr>
          <w:rFonts w:ascii="Arial" w:hAnsi="Arial" w:cs="Arial"/>
          <w:color w:val="1D2125"/>
        </w:rPr>
        <w:t>Como</w:t>
      </w:r>
      <w:proofErr w:type="gramEnd"/>
      <w:r w:rsidRPr="00AC14AE">
        <w:rPr>
          <w:rFonts w:ascii="Arial" w:hAnsi="Arial" w:cs="Arial"/>
          <w:color w:val="1D2125"/>
        </w:rPr>
        <w:t xml:space="preserve"> por ejemplo, la información que consta en las declaraciones juradas de bienes que se presentan ante esta </w:t>
      </w:r>
      <w:r w:rsidRPr="00AC14AE">
        <w:rPr>
          <w:rFonts w:ascii="Arial" w:hAnsi="Arial" w:cs="Arial"/>
          <w:color w:val="333333"/>
        </w:rPr>
        <w:t>Contraloría General</w:t>
      </w:r>
      <w:r w:rsidRPr="00AC14AE">
        <w:rPr>
          <w:rFonts w:ascii="Arial" w:hAnsi="Arial" w:cs="Arial"/>
          <w:color w:val="1D2125"/>
        </w:rPr>
        <w:t>, pues este documento es de acceso restringido por mandato del artículo 24 de la LCCEIFP.</w:t>
      </w:r>
    </w:p>
    <w:p w14:paraId="1906467E" w14:textId="77777777" w:rsidR="001F3F6E" w:rsidRPr="00AC14AE" w:rsidRDefault="001F3F6E" w:rsidP="00755833">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Al respecto, se aclara que, aún en casos de archivo de la investigación preliminar, la administración conserva el deber de mantener la confidencialidad respecto la identidad de la persona denunciante, aún en los casos en que el propio denunciante decida hacer pública su denuncia. Lo anterior por cuanto, la confidencialidad de la identidad del denunciante forma parte de las condiciones de tutela de la figura de la denuncia, </w:t>
      </w:r>
      <w:proofErr w:type="gramStart"/>
      <w:r w:rsidRPr="00AC14AE">
        <w:rPr>
          <w:rFonts w:ascii="Arial" w:hAnsi="Arial" w:cs="Arial"/>
          <w:color w:val="1D2125"/>
        </w:rPr>
        <w:t>a fin que</w:t>
      </w:r>
      <w:proofErr w:type="gramEnd"/>
      <w:r w:rsidRPr="00AC14AE">
        <w:rPr>
          <w:rFonts w:ascii="Arial" w:hAnsi="Arial" w:cs="Arial"/>
          <w:color w:val="1D2125"/>
        </w:rPr>
        <w:t xml:space="preserve"> genere confianza a quienes acuden a la verificación de la rendición de cuentas y prevención de la corrupción en la gestión pública. Con base en lo anterior, en relación con la identidad del denunciante, la confidencialidad tiene un carácter permanente (Contraloría General de la República, </w:t>
      </w:r>
      <w:proofErr w:type="spellStart"/>
      <w:r w:rsidRPr="00AC14AE">
        <w:rPr>
          <w:rFonts w:ascii="Arial" w:hAnsi="Arial" w:cs="Arial"/>
          <w:color w:val="1D2125"/>
        </w:rPr>
        <w:t>n.°</w:t>
      </w:r>
      <w:proofErr w:type="spellEnd"/>
      <w:r w:rsidRPr="00AC14AE">
        <w:rPr>
          <w:rFonts w:ascii="Arial" w:hAnsi="Arial" w:cs="Arial"/>
          <w:color w:val="1D2125"/>
        </w:rPr>
        <w:t xml:space="preserve"> 13834 (DJ-1285) (2018).</w:t>
      </w:r>
    </w:p>
    <w:p w14:paraId="20CAFDB5" w14:textId="77777777" w:rsidR="001F3F6E" w:rsidRPr="00AC14AE" w:rsidRDefault="001F3F6E" w:rsidP="00755833">
      <w:pPr>
        <w:pStyle w:val="NormalWeb"/>
        <w:shd w:val="clear" w:color="auto" w:fill="FFFFFF"/>
        <w:spacing w:before="0" w:beforeAutospacing="0"/>
        <w:jc w:val="both"/>
        <w:rPr>
          <w:rFonts w:ascii="Arial" w:hAnsi="Arial" w:cs="Arial"/>
          <w:color w:val="1D2125"/>
        </w:rPr>
      </w:pPr>
      <w:r w:rsidRPr="00AC14AE">
        <w:rPr>
          <w:rFonts w:ascii="Arial" w:hAnsi="Arial" w:cs="Arial"/>
          <w:color w:val="1D2125"/>
        </w:rPr>
        <w:t xml:space="preserve">Finalmente, se debe valorar que la información relativa al estado de la investigación preliminar o la conclusión de </w:t>
      </w:r>
      <w:proofErr w:type="gramStart"/>
      <w:r w:rsidRPr="00AC14AE">
        <w:rPr>
          <w:rFonts w:ascii="Arial" w:hAnsi="Arial" w:cs="Arial"/>
          <w:color w:val="1D2125"/>
        </w:rPr>
        <w:t>la misma</w:t>
      </w:r>
      <w:proofErr w:type="gramEnd"/>
      <w:r w:rsidRPr="00AC14AE">
        <w:rPr>
          <w:rFonts w:ascii="Arial" w:hAnsi="Arial" w:cs="Arial"/>
          <w:color w:val="1D2125"/>
        </w:rPr>
        <w:t xml:space="preserve"> se ha considerado como información de acceso general, por lo que podría otorgarse a </w:t>
      </w:r>
      <w:proofErr w:type="gramStart"/>
      <w:r w:rsidRPr="00AC14AE">
        <w:rPr>
          <w:rFonts w:ascii="Arial" w:hAnsi="Arial" w:cs="Arial"/>
          <w:color w:val="1D2125"/>
        </w:rPr>
        <w:t>terceros</w:t>
      </w:r>
      <w:proofErr w:type="gramEnd"/>
      <w:r w:rsidRPr="00AC14AE">
        <w:rPr>
          <w:rFonts w:ascii="Arial" w:hAnsi="Arial" w:cs="Arial"/>
          <w:color w:val="1D2125"/>
        </w:rPr>
        <w:t xml:space="preserve"> aunque no formen parte del proceso de investigación. Se reitera que únicamente se podría indicar el estado en que se encuentre el trámite, lo que no significa que se tenga que dar acceso al expediente administrativo respectivo. Lo anterior por cuanto la normativa es clara en indicar que tanto la identidad del denunciante como la información, documentación y evidencias que resulten de una investigación preliminar, cuyo resultado pueda dar origen a un procedimiento administrativo, son de carácter confidencial.</w:t>
      </w:r>
    </w:p>
    <w:p w14:paraId="06D4919F" w14:textId="77777777" w:rsidR="0049522B" w:rsidRPr="00AC14AE" w:rsidRDefault="0049522B" w:rsidP="0049522B">
      <w:pPr>
        <w:pStyle w:val="NormalWeb"/>
        <w:shd w:val="clear" w:color="auto" w:fill="FFFFFF"/>
        <w:spacing w:before="0" w:beforeAutospacing="0"/>
        <w:jc w:val="both"/>
        <w:rPr>
          <w:rFonts w:ascii="Arial" w:hAnsi="Arial" w:cs="Arial"/>
          <w:color w:val="1D2125"/>
        </w:rPr>
      </w:pPr>
      <w:r w:rsidRPr="00AC14AE">
        <w:rPr>
          <w:rStyle w:val="Textoennegrita"/>
          <w:rFonts w:ascii="Arial" w:eastAsiaTheme="majorEastAsia" w:hAnsi="Arial" w:cs="Arial"/>
          <w:color w:val="1D2125"/>
          <w:shd w:val="clear" w:color="auto" w:fill="AF9CFC"/>
        </w:rPr>
        <w:t>Mientras la investigación preliminar se encuentre en curso, toda la información y documentos recopilados deberán tener un carácter reservado.</w:t>
      </w:r>
    </w:p>
    <w:tbl>
      <w:tblPr>
        <w:tblW w:w="21600" w:type="dxa"/>
        <w:tblCellMar>
          <w:top w:w="15" w:type="dxa"/>
          <w:left w:w="15" w:type="dxa"/>
          <w:bottom w:w="15" w:type="dxa"/>
          <w:right w:w="15" w:type="dxa"/>
        </w:tblCellMar>
        <w:tblLook w:val="04A0" w:firstRow="1" w:lastRow="0" w:firstColumn="1" w:lastColumn="0" w:noHBand="0" w:noVBand="1"/>
      </w:tblPr>
      <w:tblGrid>
        <w:gridCol w:w="21600"/>
      </w:tblGrid>
      <w:tr w:rsidR="0049522B" w:rsidRPr="00AC14AE" w14:paraId="4F8BBEA1" w14:textId="77777777" w:rsidTr="001F18A0">
        <w:tc>
          <w:tcPr>
            <w:tcW w:w="0" w:type="auto"/>
            <w:tcBorders>
              <w:top w:val="single" w:sz="6" w:space="0" w:color="DEE2E6"/>
            </w:tcBorders>
            <w:vAlign w:val="center"/>
            <w:hideMark/>
          </w:tcPr>
          <w:p w14:paraId="2FD16B39" w14:textId="74430FB4" w:rsidR="0049522B" w:rsidRPr="00AC14AE" w:rsidRDefault="0049522B" w:rsidP="0049522B">
            <w:pPr>
              <w:spacing w:after="0" w:line="240" w:lineRule="auto"/>
              <w:rPr>
                <w:rFonts w:ascii="Arial" w:eastAsia="Times New Roman" w:hAnsi="Arial" w:cs="Arial"/>
                <w:noProof w:val="0"/>
                <w:color w:val="1D2125"/>
                <w:kern w:val="0"/>
                <w:sz w:val="24"/>
                <w:szCs w:val="24"/>
                <w:lang w:eastAsia="es-CR"/>
                <w14:ligatures w14:val="none"/>
              </w:rPr>
            </w:pPr>
          </w:p>
          <w:p w14:paraId="100B32EA" w14:textId="77777777" w:rsidR="0049522B" w:rsidRPr="00AC14AE" w:rsidRDefault="0049522B" w:rsidP="0049522B">
            <w:pPr>
              <w:spacing w:after="0"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Esto por cuanto, resulta importante mantener fuera del acceso de terceros </w:t>
            </w:r>
          </w:p>
          <w:p w14:paraId="57221E7E" w14:textId="77777777" w:rsidR="0049522B" w:rsidRPr="00AC14AE" w:rsidRDefault="0049522B" w:rsidP="0049522B">
            <w:pPr>
              <w:tabs>
                <w:tab w:val="left" w:pos="10200"/>
              </w:tabs>
              <w:spacing w:after="0"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el expediente e información relevante de la investigación que se lleva a </w:t>
            </w:r>
          </w:p>
          <w:p w14:paraId="4A9C4777" w14:textId="77777777" w:rsidR="0049522B" w:rsidRPr="00AC14AE" w:rsidRDefault="0049522B" w:rsidP="0049522B">
            <w:pPr>
              <w:tabs>
                <w:tab w:val="left" w:pos="10200"/>
              </w:tabs>
              <w:spacing w:after="0"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cabo, para así evitar la emisión de criterios que puedan afectar en alguna </w:t>
            </w:r>
          </w:p>
          <w:p w14:paraId="2BC2866B" w14:textId="60AB7356" w:rsidR="0049522B" w:rsidRPr="00AC14AE" w:rsidRDefault="0049522B" w:rsidP="0049522B">
            <w:pPr>
              <w:tabs>
                <w:tab w:val="left" w:pos="10200"/>
              </w:tabs>
              <w:spacing w:after="0"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 xml:space="preserve">medida los resultados de la investigación o, incluso, los derechos </w:t>
            </w:r>
          </w:p>
          <w:p w14:paraId="59B90414" w14:textId="7B66A485" w:rsidR="0049522B" w:rsidRPr="00AC14AE" w:rsidRDefault="0049522B" w:rsidP="0049522B">
            <w:pPr>
              <w:tabs>
                <w:tab w:val="left" w:pos="10200"/>
              </w:tabs>
              <w:spacing w:after="0" w:line="240" w:lineRule="auto"/>
              <w:rPr>
                <w:rFonts w:ascii="Arial" w:eastAsia="Times New Roman" w:hAnsi="Arial" w:cs="Arial"/>
                <w:noProof w:val="0"/>
                <w:color w:val="1D2125"/>
                <w:kern w:val="0"/>
                <w:sz w:val="24"/>
                <w:szCs w:val="24"/>
                <w:lang w:eastAsia="es-CR"/>
                <w14:ligatures w14:val="none"/>
              </w:rPr>
            </w:pPr>
            <w:r w:rsidRPr="00AC14AE">
              <w:rPr>
                <w:rFonts w:ascii="Arial" w:eastAsia="Times New Roman" w:hAnsi="Arial" w:cs="Arial"/>
                <w:noProof w:val="0"/>
                <w:color w:val="1D2125"/>
                <w:kern w:val="0"/>
                <w:sz w:val="24"/>
                <w:szCs w:val="24"/>
                <w:lang w:eastAsia="es-CR"/>
                <w14:ligatures w14:val="none"/>
              </w:rPr>
              <w:t>fundamentales de las personas que están siendo investigadas.</w:t>
            </w:r>
          </w:p>
          <w:p w14:paraId="29DE4863" w14:textId="77777777" w:rsidR="0049522B" w:rsidRPr="00AC14AE" w:rsidRDefault="0049522B" w:rsidP="0049522B">
            <w:pPr>
              <w:spacing w:after="0" w:line="240" w:lineRule="auto"/>
              <w:ind w:left="450"/>
              <w:rPr>
                <w:rFonts w:ascii="Arial" w:eastAsia="Times New Roman" w:hAnsi="Arial" w:cs="Arial"/>
                <w:noProof w:val="0"/>
                <w:color w:val="1D2125"/>
                <w:kern w:val="0"/>
                <w:sz w:val="24"/>
                <w:szCs w:val="24"/>
                <w:lang w:eastAsia="es-CR"/>
                <w14:ligatures w14:val="none"/>
              </w:rPr>
            </w:pPr>
          </w:p>
        </w:tc>
      </w:tr>
    </w:tbl>
    <w:p w14:paraId="4A53AB04" w14:textId="77777777" w:rsidR="0049522B" w:rsidRPr="00AC14AE" w:rsidRDefault="0049522B" w:rsidP="00755833">
      <w:pPr>
        <w:pStyle w:val="NormalWeb"/>
        <w:shd w:val="clear" w:color="auto" w:fill="FFFFFF"/>
        <w:spacing w:before="0" w:beforeAutospacing="0"/>
        <w:jc w:val="both"/>
        <w:rPr>
          <w:rFonts w:ascii="Arial" w:hAnsi="Arial" w:cs="Arial"/>
          <w:color w:val="1D2125"/>
        </w:rPr>
      </w:pPr>
    </w:p>
    <w:p w14:paraId="44BEFA5D" w14:textId="5D499270" w:rsidR="001F3F6E" w:rsidRPr="00AC14AE" w:rsidRDefault="001F3F6E" w:rsidP="001F3F6E">
      <w:pPr>
        <w:pStyle w:val="NormalWeb"/>
        <w:shd w:val="clear" w:color="auto" w:fill="FFFFFF"/>
        <w:spacing w:before="0" w:beforeAutospacing="0"/>
        <w:rPr>
          <w:rFonts w:ascii="Arial" w:hAnsi="Arial" w:cs="Arial"/>
          <w:color w:val="1D2125"/>
        </w:rPr>
      </w:pPr>
      <w:r w:rsidRPr="00AC14AE">
        <w:rPr>
          <w:rFonts w:ascii="Arial" w:hAnsi="Arial" w:cs="Arial"/>
          <w:color w:val="FFFFFF"/>
        </w:rPr>
        <w:t>-</w:t>
      </w:r>
      <w:r w:rsidRPr="00AC14AE">
        <w:rPr>
          <w:rFonts w:ascii="Arial" w:hAnsi="Arial" w:cs="Arial"/>
          <w:color w:val="1D2125"/>
        </w:rPr>
        <w:br/>
      </w:r>
    </w:p>
    <w:p w14:paraId="23B537AE" w14:textId="4CACF185" w:rsidR="006700ED" w:rsidRPr="00AC14AE" w:rsidRDefault="006700ED" w:rsidP="006700ED">
      <w:pPr>
        <w:spacing w:after="0" w:line="240" w:lineRule="auto"/>
        <w:rPr>
          <w:rFonts w:ascii="Arial" w:eastAsia="Times New Roman" w:hAnsi="Arial" w:cs="Arial"/>
          <w:noProof w:val="0"/>
          <w:kern w:val="0"/>
          <w:sz w:val="24"/>
          <w:szCs w:val="24"/>
          <w:lang w:eastAsia="es-CR"/>
          <w14:ligatures w14:val="none"/>
        </w:rPr>
      </w:pPr>
    </w:p>
    <w:tbl>
      <w:tblPr>
        <w:tblW w:w="21600" w:type="dxa"/>
        <w:tblCellMar>
          <w:top w:w="15" w:type="dxa"/>
          <w:left w:w="15" w:type="dxa"/>
          <w:bottom w:w="15" w:type="dxa"/>
          <w:right w:w="15" w:type="dxa"/>
        </w:tblCellMar>
        <w:tblLook w:val="04A0" w:firstRow="1" w:lastRow="0" w:firstColumn="1" w:lastColumn="0" w:noHBand="0" w:noVBand="1"/>
      </w:tblPr>
      <w:tblGrid>
        <w:gridCol w:w="21600"/>
      </w:tblGrid>
      <w:tr w:rsidR="006700ED" w:rsidRPr="00AC14AE" w14:paraId="1A192559" w14:textId="77777777" w:rsidTr="006700ED">
        <w:tc>
          <w:tcPr>
            <w:tcW w:w="0" w:type="auto"/>
            <w:tcBorders>
              <w:top w:val="single" w:sz="6" w:space="0" w:color="DEE2E6"/>
            </w:tcBorders>
            <w:vAlign w:val="center"/>
            <w:hideMark/>
          </w:tcPr>
          <w:p w14:paraId="7A25E041" w14:textId="21BA5FA6" w:rsidR="006700ED" w:rsidRPr="00AC14AE" w:rsidRDefault="006700ED" w:rsidP="006700ED">
            <w:pPr>
              <w:spacing w:after="100" w:afterAutospacing="1" w:line="240" w:lineRule="auto"/>
              <w:jc w:val="both"/>
              <w:divId w:val="506021955"/>
              <w:rPr>
                <w:rFonts w:ascii="Arial" w:eastAsia="Times New Roman" w:hAnsi="Arial" w:cs="Arial"/>
                <w:noProof w:val="0"/>
                <w:color w:val="1D2125"/>
                <w:kern w:val="0"/>
                <w:sz w:val="24"/>
                <w:szCs w:val="24"/>
                <w:lang w:eastAsia="es-CR"/>
                <w14:ligatures w14:val="none"/>
              </w:rPr>
            </w:pPr>
          </w:p>
        </w:tc>
      </w:tr>
    </w:tbl>
    <w:p w14:paraId="3E7D219F" w14:textId="3AACB404" w:rsidR="006D42DC" w:rsidRPr="00AC14AE" w:rsidRDefault="006D42DC" w:rsidP="006D42DC">
      <w:pPr>
        <w:pStyle w:val="Ttulo2"/>
        <w:spacing w:before="0"/>
        <w:rPr>
          <w:rFonts w:ascii="Arial" w:hAnsi="Arial" w:cs="Arial"/>
          <w:noProof w:val="0"/>
          <w:color w:val="1D2125"/>
          <w:sz w:val="24"/>
          <w:szCs w:val="24"/>
        </w:rPr>
      </w:pPr>
      <w:r w:rsidRPr="00AC14AE">
        <w:rPr>
          <w:rFonts w:ascii="Arial" w:hAnsi="Arial" w:cs="Arial"/>
          <w:b/>
          <w:bCs/>
          <w:color w:val="1D2125"/>
          <w:sz w:val="24"/>
          <w:szCs w:val="24"/>
        </w:rPr>
        <w:t xml:space="preserve">  </w:t>
      </w:r>
    </w:p>
    <w:p w14:paraId="7F8EDE96" w14:textId="77777777" w:rsidR="000D46C7" w:rsidRPr="00AC14AE" w:rsidRDefault="000D46C7" w:rsidP="000D46C7">
      <w:pPr>
        <w:shd w:val="clear" w:color="auto" w:fill="F8F9FA"/>
        <w:jc w:val="center"/>
        <w:rPr>
          <w:rFonts w:ascii="Arial" w:hAnsi="Arial" w:cs="Arial"/>
          <w:color w:val="1D2125"/>
          <w:sz w:val="24"/>
          <w:szCs w:val="24"/>
        </w:rPr>
      </w:pPr>
    </w:p>
    <w:p w14:paraId="66E67C60" w14:textId="20FE4DB5" w:rsidR="0049522B" w:rsidRPr="00AC14AE" w:rsidRDefault="000D46C7" w:rsidP="0049522B">
      <w:pPr>
        <w:pStyle w:val="Ttulo2"/>
        <w:spacing w:before="0"/>
        <w:rPr>
          <w:rFonts w:ascii="Arial" w:hAnsi="Arial" w:cs="Arial"/>
          <w:color w:val="1D2125"/>
          <w:sz w:val="24"/>
          <w:szCs w:val="24"/>
        </w:rPr>
      </w:pPr>
      <w:r w:rsidRPr="00AC14AE">
        <w:rPr>
          <w:rFonts w:ascii="Arial" w:hAnsi="Arial" w:cs="Arial"/>
          <w:sz w:val="24"/>
          <w:szCs w:val="24"/>
        </w:rPr>
        <w:tab/>
      </w:r>
    </w:p>
    <w:p w14:paraId="2A88ACA5" w14:textId="4B147ABB" w:rsidR="00F403BD" w:rsidRPr="00AC14AE" w:rsidRDefault="00F403BD" w:rsidP="00736AA7">
      <w:pPr>
        <w:pStyle w:val="NormalWeb"/>
        <w:spacing w:before="0" w:beforeAutospacing="0"/>
        <w:jc w:val="both"/>
        <w:rPr>
          <w:rFonts w:ascii="Arial" w:hAnsi="Arial" w:cs="Arial"/>
          <w:color w:val="1D2125"/>
        </w:rPr>
      </w:pPr>
    </w:p>
    <w:sectPr w:rsidR="00F403BD" w:rsidRPr="00AC14AE">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B3D2" w14:textId="77777777" w:rsidR="005563E8" w:rsidRDefault="005563E8" w:rsidP="00BA0B1F">
      <w:pPr>
        <w:spacing w:after="0" w:line="240" w:lineRule="auto"/>
      </w:pPr>
      <w:r>
        <w:separator/>
      </w:r>
    </w:p>
  </w:endnote>
  <w:endnote w:type="continuationSeparator" w:id="0">
    <w:p w14:paraId="6BC3A26E" w14:textId="77777777" w:rsidR="005563E8" w:rsidRDefault="005563E8" w:rsidP="00BA0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450D" w14:textId="77777777" w:rsidR="005563E8" w:rsidRDefault="005563E8" w:rsidP="00BA0B1F">
      <w:pPr>
        <w:spacing w:after="0" w:line="240" w:lineRule="auto"/>
      </w:pPr>
      <w:r>
        <w:separator/>
      </w:r>
    </w:p>
  </w:footnote>
  <w:footnote w:type="continuationSeparator" w:id="0">
    <w:p w14:paraId="0D0DAACB" w14:textId="77777777" w:rsidR="005563E8" w:rsidRDefault="005563E8" w:rsidP="00BA0B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EFD"/>
    <w:multiLevelType w:val="multilevel"/>
    <w:tmpl w:val="9CBE9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73A78"/>
    <w:multiLevelType w:val="hybridMultilevel"/>
    <w:tmpl w:val="8FB6AEC6"/>
    <w:lvl w:ilvl="0" w:tplc="EAAC5A10">
      <w:start w:val="1"/>
      <w:numFmt w:val="decimal"/>
      <w:lvlText w:val="%1."/>
      <w:lvlJc w:val="left"/>
      <w:pPr>
        <w:ind w:left="720" w:hanging="360"/>
      </w:pPr>
      <w:rPr>
        <w:rFonts w:ascii="Segoe UI" w:hAnsi="Segoe UI" w:cs="Segoe UI" w:hint="default"/>
        <w:color w:val="1D2125"/>
        <w:sz w:val="23"/>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 w15:restartNumberingAfterBreak="0">
    <w:nsid w:val="26303F66"/>
    <w:multiLevelType w:val="multilevel"/>
    <w:tmpl w:val="CA522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526C5C"/>
    <w:multiLevelType w:val="hybridMultilevel"/>
    <w:tmpl w:val="FDFEB292"/>
    <w:lvl w:ilvl="0" w:tplc="140A000F">
      <w:start w:val="5"/>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4" w15:restartNumberingAfterBreak="0">
    <w:nsid w:val="3CBD70C2"/>
    <w:multiLevelType w:val="multilevel"/>
    <w:tmpl w:val="3F561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EF1743D"/>
    <w:multiLevelType w:val="multilevel"/>
    <w:tmpl w:val="31CA86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B75A8D"/>
    <w:multiLevelType w:val="multilevel"/>
    <w:tmpl w:val="4A6A15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BA15CA"/>
    <w:multiLevelType w:val="multilevel"/>
    <w:tmpl w:val="417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DC7452"/>
    <w:multiLevelType w:val="multilevel"/>
    <w:tmpl w:val="71FC7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EC7FE6"/>
    <w:multiLevelType w:val="hybridMultilevel"/>
    <w:tmpl w:val="265CDD8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16cid:durableId="64887567">
    <w:abstractNumId w:val="4"/>
  </w:num>
  <w:num w:numId="2" w16cid:durableId="2097171521">
    <w:abstractNumId w:val="0"/>
  </w:num>
  <w:num w:numId="3" w16cid:durableId="1064452808">
    <w:abstractNumId w:val="2"/>
  </w:num>
  <w:num w:numId="4" w16cid:durableId="1126971579">
    <w:abstractNumId w:val="7"/>
  </w:num>
  <w:num w:numId="5" w16cid:durableId="2143571278">
    <w:abstractNumId w:val="1"/>
  </w:num>
  <w:num w:numId="6" w16cid:durableId="1723600894">
    <w:abstractNumId w:val="5"/>
  </w:num>
  <w:num w:numId="7" w16cid:durableId="1728064062">
    <w:abstractNumId w:val="6"/>
  </w:num>
  <w:num w:numId="8" w16cid:durableId="1746686609">
    <w:abstractNumId w:val="8"/>
  </w:num>
  <w:num w:numId="9" w16cid:durableId="665863578">
    <w:abstractNumId w:val="9"/>
  </w:num>
  <w:num w:numId="10" w16cid:durableId="8030807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A30"/>
    <w:rsid w:val="000141A6"/>
    <w:rsid w:val="00031AD9"/>
    <w:rsid w:val="0003612B"/>
    <w:rsid w:val="0005197D"/>
    <w:rsid w:val="000603F9"/>
    <w:rsid w:val="0006096C"/>
    <w:rsid w:val="00063308"/>
    <w:rsid w:val="000779AE"/>
    <w:rsid w:val="0008202D"/>
    <w:rsid w:val="00091189"/>
    <w:rsid w:val="0009397E"/>
    <w:rsid w:val="000B00C3"/>
    <w:rsid w:val="000D0AE4"/>
    <w:rsid w:val="000D449B"/>
    <w:rsid w:val="000D46C7"/>
    <w:rsid w:val="0010124F"/>
    <w:rsid w:val="0011075D"/>
    <w:rsid w:val="00114183"/>
    <w:rsid w:val="00122641"/>
    <w:rsid w:val="00132B70"/>
    <w:rsid w:val="001351F1"/>
    <w:rsid w:val="00135CC0"/>
    <w:rsid w:val="001464CA"/>
    <w:rsid w:val="00186777"/>
    <w:rsid w:val="00192C55"/>
    <w:rsid w:val="001966B4"/>
    <w:rsid w:val="001A0C66"/>
    <w:rsid w:val="001B7E5B"/>
    <w:rsid w:val="001C095E"/>
    <w:rsid w:val="001C444E"/>
    <w:rsid w:val="001C4827"/>
    <w:rsid w:val="001F0733"/>
    <w:rsid w:val="001F18A0"/>
    <w:rsid w:val="001F3F6E"/>
    <w:rsid w:val="002105DE"/>
    <w:rsid w:val="00222295"/>
    <w:rsid w:val="00224F1C"/>
    <w:rsid w:val="00233810"/>
    <w:rsid w:val="00236945"/>
    <w:rsid w:val="002373F7"/>
    <w:rsid w:val="002449AA"/>
    <w:rsid w:val="00245536"/>
    <w:rsid w:val="00257DAA"/>
    <w:rsid w:val="00297E59"/>
    <w:rsid w:val="002B0E11"/>
    <w:rsid w:val="002B4D10"/>
    <w:rsid w:val="002D1225"/>
    <w:rsid w:val="002E27E8"/>
    <w:rsid w:val="002E3BD4"/>
    <w:rsid w:val="002F1C89"/>
    <w:rsid w:val="002F1EEE"/>
    <w:rsid w:val="003013D6"/>
    <w:rsid w:val="00314473"/>
    <w:rsid w:val="00321EA4"/>
    <w:rsid w:val="00336C2C"/>
    <w:rsid w:val="00337C62"/>
    <w:rsid w:val="00361385"/>
    <w:rsid w:val="003638AE"/>
    <w:rsid w:val="0037343D"/>
    <w:rsid w:val="0038070F"/>
    <w:rsid w:val="00396144"/>
    <w:rsid w:val="003A40D4"/>
    <w:rsid w:val="003C6B9B"/>
    <w:rsid w:val="00434757"/>
    <w:rsid w:val="00435557"/>
    <w:rsid w:val="00443665"/>
    <w:rsid w:val="004553D6"/>
    <w:rsid w:val="004634E4"/>
    <w:rsid w:val="004825C2"/>
    <w:rsid w:val="004903AC"/>
    <w:rsid w:val="0049522B"/>
    <w:rsid w:val="004C12E3"/>
    <w:rsid w:val="005261B9"/>
    <w:rsid w:val="005563E8"/>
    <w:rsid w:val="005576CD"/>
    <w:rsid w:val="00563A06"/>
    <w:rsid w:val="00563DC0"/>
    <w:rsid w:val="00567897"/>
    <w:rsid w:val="00572C83"/>
    <w:rsid w:val="00577DF5"/>
    <w:rsid w:val="005A4A3A"/>
    <w:rsid w:val="005A7B2B"/>
    <w:rsid w:val="005C5276"/>
    <w:rsid w:val="005F0B7C"/>
    <w:rsid w:val="005F17E3"/>
    <w:rsid w:val="00613DD3"/>
    <w:rsid w:val="006267FF"/>
    <w:rsid w:val="00662A98"/>
    <w:rsid w:val="00666990"/>
    <w:rsid w:val="006700ED"/>
    <w:rsid w:val="00672210"/>
    <w:rsid w:val="006A057E"/>
    <w:rsid w:val="006A083D"/>
    <w:rsid w:val="006A2792"/>
    <w:rsid w:val="006C09F7"/>
    <w:rsid w:val="006C1DC9"/>
    <w:rsid w:val="006C4359"/>
    <w:rsid w:val="006C5693"/>
    <w:rsid w:val="006D0078"/>
    <w:rsid w:val="006D42DC"/>
    <w:rsid w:val="00712801"/>
    <w:rsid w:val="007278B5"/>
    <w:rsid w:val="00731555"/>
    <w:rsid w:val="00736AA7"/>
    <w:rsid w:val="00747629"/>
    <w:rsid w:val="00755833"/>
    <w:rsid w:val="007615B6"/>
    <w:rsid w:val="00767928"/>
    <w:rsid w:val="0077547C"/>
    <w:rsid w:val="007937AA"/>
    <w:rsid w:val="007944A2"/>
    <w:rsid w:val="007B20BE"/>
    <w:rsid w:val="007F027C"/>
    <w:rsid w:val="007F1F9B"/>
    <w:rsid w:val="007F2FCF"/>
    <w:rsid w:val="007F3B0A"/>
    <w:rsid w:val="00800BB0"/>
    <w:rsid w:val="00831960"/>
    <w:rsid w:val="00835531"/>
    <w:rsid w:val="0084706A"/>
    <w:rsid w:val="00851E68"/>
    <w:rsid w:val="008538B1"/>
    <w:rsid w:val="00856C72"/>
    <w:rsid w:val="00873054"/>
    <w:rsid w:val="00873EC3"/>
    <w:rsid w:val="00880158"/>
    <w:rsid w:val="008802F4"/>
    <w:rsid w:val="00884915"/>
    <w:rsid w:val="0088540E"/>
    <w:rsid w:val="008A5C5B"/>
    <w:rsid w:val="008B49B3"/>
    <w:rsid w:val="008B4A32"/>
    <w:rsid w:val="008C62B2"/>
    <w:rsid w:val="008F29FB"/>
    <w:rsid w:val="008F4C5E"/>
    <w:rsid w:val="009120D4"/>
    <w:rsid w:val="00916535"/>
    <w:rsid w:val="00936BC2"/>
    <w:rsid w:val="0094324F"/>
    <w:rsid w:val="0094637F"/>
    <w:rsid w:val="00954E51"/>
    <w:rsid w:val="00966168"/>
    <w:rsid w:val="009677A9"/>
    <w:rsid w:val="00977D4A"/>
    <w:rsid w:val="00982D77"/>
    <w:rsid w:val="00987FBC"/>
    <w:rsid w:val="009A351F"/>
    <w:rsid w:val="009C5004"/>
    <w:rsid w:val="009D489D"/>
    <w:rsid w:val="009D59A3"/>
    <w:rsid w:val="009D64C2"/>
    <w:rsid w:val="009E2549"/>
    <w:rsid w:val="009F771E"/>
    <w:rsid w:val="00A25BEF"/>
    <w:rsid w:val="00A35635"/>
    <w:rsid w:val="00A36E3D"/>
    <w:rsid w:val="00A445F8"/>
    <w:rsid w:val="00A53488"/>
    <w:rsid w:val="00A571CB"/>
    <w:rsid w:val="00A94309"/>
    <w:rsid w:val="00AA70FE"/>
    <w:rsid w:val="00AB1C17"/>
    <w:rsid w:val="00AC14AE"/>
    <w:rsid w:val="00AC2C3A"/>
    <w:rsid w:val="00AC721B"/>
    <w:rsid w:val="00AE15A4"/>
    <w:rsid w:val="00AF601D"/>
    <w:rsid w:val="00B23400"/>
    <w:rsid w:val="00B30072"/>
    <w:rsid w:val="00B50E73"/>
    <w:rsid w:val="00BA0B1F"/>
    <w:rsid w:val="00BA2C2C"/>
    <w:rsid w:val="00BA47D5"/>
    <w:rsid w:val="00BA4E50"/>
    <w:rsid w:val="00BB3A76"/>
    <w:rsid w:val="00BF0D29"/>
    <w:rsid w:val="00C033E4"/>
    <w:rsid w:val="00C27F02"/>
    <w:rsid w:val="00C36E33"/>
    <w:rsid w:val="00C57DD0"/>
    <w:rsid w:val="00C63D4B"/>
    <w:rsid w:val="00C9179A"/>
    <w:rsid w:val="00CA4DFA"/>
    <w:rsid w:val="00CB5403"/>
    <w:rsid w:val="00CC0D0B"/>
    <w:rsid w:val="00CE5F86"/>
    <w:rsid w:val="00CE7511"/>
    <w:rsid w:val="00CF1DD7"/>
    <w:rsid w:val="00D11C1F"/>
    <w:rsid w:val="00D4595B"/>
    <w:rsid w:val="00D47FDA"/>
    <w:rsid w:val="00D53356"/>
    <w:rsid w:val="00D5680F"/>
    <w:rsid w:val="00D65B0A"/>
    <w:rsid w:val="00D82204"/>
    <w:rsid w:val="00D865A4"/>
    <w:rsid w:val="00D921F5"/>
    <w:rsid w:val="00DB1449"/>
    <w:rsid w:val="00DB7AC9"/>
    <w:rsid w:val="00DC2B0B"/>
    <w:rsid w:val="00DC38C3"/>
    <w:rsid w:val="00DD33B3"/>
    <w:rsid w:val="00DF558A"/>
    <w:rsid w:val="00E2131B"/>
    <w:rsid w:val="00E3536F"/>
    <w:rsid w:val="00E46372"/>
    <w:rsid w:val="00E67A30"/>
    <w:rsid w:val="00E80C91"/>
    <w:rsid w:val="00E83D54"/>
    <w:rsid w:val="00E91D9B"/>
    <w:rsid w:val="00E96FA4"/>
    <w:rsid w:val="00EA4EAF"/>
    <w:rsid w:val="00EB64D1"/>
    <w:rsid w:val="00EB7B7B"/>
    <w:rsid w:val="00EF58F8"/>
    <w:rsid w:val="00F2134E"/>
    <w:rsid w:val="00F403BD"/>
    <w:rsid w:val="00F411E1"/>
    <w:rsid w:val="00F46716"/>
    <w:rsid w:val="00F5135D"/>
    <w:rsid w:val="00F84139"/>
    <w:rsid w:val="00F85258"/>
    <w:rsid w:val="00FD6C18"/>
    <w:rsid w:val="00FE7E7D"/>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9537"/>
  <w15:chartTrackingRefBased/>
  <w15:docId w15:val="{A29FF264-BC97-4E37-ADBB-77EBF281D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link w:val="Ttulo1Car"/>
    <w:uiPriority w:val="9"/>
    <w:qFormat/>
    <w:rsid w:val="00E67A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E67A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E67A3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67A3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67A3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67A3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67A3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67A3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67A3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67A30"/>
    <w:rPr>
      <w:rFonts w:asciiTheme="majorHAnsi" w:eastAsiaTheme="majorEastAsia" w:hAnsiTheme="majorHAnsi" w:cstheme="majorBidi"/>
      <w:noProof/>
      <w:color w:val="0F4761" w:themeColor="accent1" w:themeShade="BF"/>
      <w:sz w:val="40"/>
      <w:szCs w:val="40"/>
    </w:rPr>
  </w:style>
  <w:style w:type="character" w:customStyle="1" w:styleId="Ttulo2Car">
    <w:name w:val="Título 2 Car"/>
    <w:basedOn w:val="Fuentedeprrafopredeter"/>
    <w:link w:val="Ttulo2"/>
    <w:uiPriority w:val="9"/>
    <w:rsid w:val="00E67A30"/>
    <w:rPr>
      <w:rFonts w:asciiTheme="majorHAnsi" w:eastAsiaTheme="majorEastAsia" w:hAnsiTheme="majorHAnsi" w:cstheme="majorBidi"/>
      <w:noProof/>
      <w:color w:val="0F4761" w:themeColor="accent1" w:themeShade="BF"/>
      <w:sz w:val="32"/>
      <w:szCs w:val="32"/>
    </w:rPr>
  </w:style>
  <w:style w:type="character" w:customStyle="1" w:styleId="Ttulo3Car">
    <w:name w:val="Título 3 Car"/>
    <w:basedOn w:val="Fuentedeprrafopredeter"/>
    <w:link w:val="Ttulo3"/>
    <w:uiPriority w:val="9"/>
    <w:rsid w:val="00E67A30"/>
    <w:rPr>
      <w:rFonts w:eastAsiaTheme="majorEastAsia" w:cstheme="majorBidi"/>
      <w:noProof/>
      <w:color w:val="0F4761" w:themeColor="accent1" w:themeShade="BF"/>
      <w:sz w:val="28"/>
      <w:szCs w:val="28"/>
    </w:rPr>
  </w:style>
  <w:style w:type="character" w:customStyle="1" w:styleId="Ttulo4Car">
    <w:name w:val="Título 4 Car"/>
    <w:basedOn w:val="Fuentedeprrafopredeter"/>
    <w:link w:val="Ttulo4"/>
    <w:uiPriority w:val="9"/>
    <w:semiHidden/>
    <w:rsid w:val="00E67A30"/>
    <w:rPr>
      <w:rFonts w:eastAsiaTheme="majorEastAsia" w:cstheme="majorBidi"/>
      <w:i/>
      <w:iCs/>
      <w:noProof/>
      <w:color w:val="0F4761" w:themeColor="accent1" w:themeShade="BF"/>
    </w:rPr>
  </w:style>
  <w:style w:type="character" w:customStyle="1" w:styleId="Ttulo5Car">
    <w:name w:val="Título 5 Car"/>
    <w:basedOn w:val="Fuentedeprrafopredeter"/>
    <w:link w:val="Ttulo5"/>
    <w:uiPriority w:val="9"/>
    <w:semiHidden/>
    <w:rsid w:val="00E67A30"/>
    <w:rPr>
      <w:rFonts w:eastAsiaTheme="majorEastAsia" w:cstheme="majorBidi"/>
      <w:noProof/>
      <w:color w:val="0F4761" w:themeColor="accent1" w:themeShade="BF"/>
    </w:rPr>
  </w:style>
  <w:style w:type="character" w:customStyle="1" w:styleId="Ttulo6Car">
    <w:name w:val="Título 6 Car"/>
    <w:basedOn w:val="Fuentedeprrafopredeter"/>
    <w:link w:val="Ttulo6"/>
    <w:uiPriority w:val="9"/>
    <w:semiHidden/>
    <w:rsid w:val="00E67A30"/>
    <w:rPr>
      <w:rFonts w:eastAsiaTheme="majorEastAsia" w:cstheme="majorBidi"/>
      <w:i/>
      <w:iCs/>
      <w:noProof/>
      <w:color w:val="595959" w:themeColor="text1" w:themeTint="A6"/>
    </w:rPr>
  </w:style>
  <w:style w:type="character" w:customStyle="1" w:styleId="Ttulo7Car">
    <w:name w:val="Título 7 Car"/>
    <w:basedOn w:val="Fuentedeprrafopredeter"/>
    <w:link w:val="Ttulo7"/>
    <w:uiPriority w:val="9"/>
    <w:semiHidden/>
    <w:rsid w:val="00E67A30"/>
    <w:rPr>
      <w:rFonts w:eastAsiaTheme="majorEastAsia" w:cstheme="majorBidi"/>
      <w:noProof/>
      <w:color w:val="595959" w:themeColor="text1" w:themeTint="A6"/>
    </w:rPr>
  </w:style>
  <w:style w:type="character" w:customStyle="1" w:styleId="Ttulo8Car">
    <w:name w:val="Título 8 Car"/>
    <w:basedOn w:val="Fuentedeprrafopredeter"/>
    <w:link w:val="Ttulo8"/>
    <w:uiPriority w:val="9"/>
    <w:semiHidden/>
    <w:rsid w:val="00E67A30"/>
    <w:rPr>
      <w:rFonts w:eastAsiaTheme="majorEastAsia" w:cstheme="majorBidi"/>
      <w:i/>
      <w:iCs/>
      <w:noProof/>
      <w:color w:val="272727" w:themeColor="text1" w:themeTint="D8"/>
    </w:rPr>
  </w:style>
  <w:style w:type="character" w:customStyle="1" w:styleId="Ttulo9Car">
    <w:name w:val="Título 9 Car"/>
    <w:basedOn w:val="Fuentedeprrafopredeter"/>
    <w:link w:val="Ttulo9"/>
    <w:uiPriority w:val="9"/>
    <w:semiHidden/>
    <w:rsid w:val="00E67A30"/>
    <w:rPr>
      <w:rFonts w:eastAsiaTheme="majorEastAsia" w:cstheme="majorBidi"/>
      <w:noProof/>
      <w:color w:val="272727" w:themeColor="text1" w:themeTint="D8"/>
    </w:rPr>
  </w:style>
  <w:style w:type="paragraph" w:styleId="Ttulo">
    <w:name w:val="Title"/>
    <w:basedOn w:val="Normal"/>
    <w:next w:val="Normal"/>
    <w:link w:val="TtuloCar"/>
    <w:uiPriority w:val="10"/>
    <w:qFormat/>
    <w:rsid w:val="00E67A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67A30"/>
    <w:rPr>
      <w:rFonts w:asciiTheme="majorHAnsi" w:eastAsiaTheme="majorEastAsia" w:hAnsiTheme="majorHAnsi" w:cstheme="majorBidi"/>
      <w:noProof/>
      <w:spacing w:val="-10"/>
      <w:kern w:val="28"/>
      <w:sz w:val="56"/>
      <w:szCs w:val="56"/>
    </w:rPr>
  </w:style>
  <w:style w:type="paragraph" w:styleId="Subttulo">
    <w:name w:val="Subtitle"/>
    <w:basedOn w:val="Normal"/>
    <w:next w:val="Normal"/>
    <w:link w:val="SubttuloCar"/>
    <w:uiPriority w:val="11"/>
    <w:qFormat/>
    <w:rsid w:val="00E67A3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67A30"/>
    <w:rPr>
      <w:rFonts w:eastAsiaTheme="majorEastAsia" w:cstheme="majorBidi"/>
      <w:noProof/>
      <w:color w:val="595959" w:themeColor="text1" w:themeTint="A6"/>
      <w:spacing w:val="15"/>
      <w:sz w:val="28"/>
      <w:szCs w:val="28"/>
    </w:rPr>
  </w:style>
  <w:style w:type="paragraph" w:styleId="Cita">
    <w:name w:val="Quote"/>
    <w:basedOn w:val="Normal"/>
    <w:next w:val="Normal"/>
    <w:link w:val="CitaCar"/>
    <w:uiPriority w:val="29"/>
    <w:qFormat/>
    <w:rsid w:val="00E67A30"/>
    <w:pPr>
      <w:spacing w:before="160"/>
      <w:jc w:val="center"/>
    </w:pPr>
    <w:rPr>
      <w:i/>
      <w:iCs/>
      <w:color w:val="404040" w:themeColor="text1" w:themeTint="BF"/>
    </w:rPr>
  </w:style>
  <w:style w:type="character" w:customStyle="1" w:styleId="CitaCar">
    <w:name w:val="Cita Car"/>
    <w:basedOn w:val="Fuentedeprrafopredeter"/>
    <w:link w:val="Cita"/>
    <w:uiPriority w:val="29"/>
    <w:rsid w:val="00E67A30"/>
    <w:rPr>
      <w:i/>
      <w:iCs/>
      <w:noProof/>
      <w:color w:val="404040" w:themeColor="text1" w:themeTint="BF"/>
    </w:rPr>
  </w:style>
  <w:style w:type="paragraph" w:styleId="Prrafodelista">
    <w:name w:val="List Paragraph"/>
    <w:basedOn w:val="Normal"/>
    <w:uiPriority w:val="34"/>
    <w:qFormat/>
    <w:rsid w:val="00E67A30"/>
    <w:pPr>
      <w:ind w:left="720"/>
      <w:contextualSpacing/>
    </w:pPr>
  </w:style>
  <w:style w:type="character" w:styleId="nfasisintenso">
    <w:name w:val="Intense Emphasis"/>
    <w:basedOn w:val="Fuentedeprrafopredeter"/>
    <w:uiPriority w:val="21"/>
    <w:qFormat/>
    <w:rsid w:val="00E67A30"/>
    <w:rPr>
      <w:i/>
      <w:iCs/>
      <w:color w:val="0F4761" w:themeColor="accent1" w:themeShade="BF"/>
    </w:rPr>
  </w:style>
  <w:style w:type="paragraph" w:styleId="Citadestacada">
    <w:name w:val="Intense Quote"/>
    <w:basedOn w:val="Normal"/>
    <w:next w:val="Normal"/>
    <w:link w:val="CitadestacadaCar"/>
    <w:uiPriority w:val="30"/>
    <w:qFormat/>
    <w:rsid w:val="00E67A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67A30"/>
    <w:rPr>
      <w:i/>
      <w:iCs/>
      <w:noProof/>
      <w:color w:val="0F4761" w:themeColor="accent1" w:themeShade="BF"/>
    </w:rPr>
  </w:style>
  <w:style w:type="character" w:styleId="Referenciaintensa">
    <w:name w:val="Intense Reference"/>
    <w:basedOn w:val="Fuentedeprrafopredeter"/>
    <w:uiPriority w:val="32"/>
    <w:qFormat/>
    <w:rsid w:val="00E67A30"/>
    <w:rPr>
      <w:b/>
      <w:bCs/>
      <w:smallCaps/>
      <w:color w:val="0F4761" w:themeColor="accent1" w:themeShade="BF"/>
      <w:spacing w:val="5"/>
    </w:rPr>
  </w:style>
  <w:style w:type="character" w:styleId="nfasis">
    <w:name w:val="Emphasis"/>
    <w:basedOn w:val="Fuentedeprrafopredeter"/>
    <w:uiPriority w:val="20"/>
    <w:qFormat/>
    <w:rsid w:val="00FD6C18"/>
    <w:rPr>
      <w:i/>
      <w:iCs/>
    </w:rPr>
  </w:style>
  <w:style w:type="paragraph" w:styleId="NormalWeb">
    <w:name w:val="Normal (Web)"/>
    <w:basedOn w:val="Normal"/>
    <w:uiPriority w:val="99"/>
    <w:unhideWhenUsed/>
    <w:rsid w:val="00936BC2"/>
    <w:pPr>
      <w:spacing w:before="100" w:beforeAutospacing="1" w:after="100" w:afterAutospacing="1" w:line="240" w:lineRule="auto"/>
    </w:pPr>
    <w:rPr>
      <w:rFonts w:ascii="Times New Roman" w:eastAsia="Times New Roman" w:hAnsi="Times New Roman" w:cs="Times New Roman"/>
      <w:noProof w:val="0"/>
      <w:kern w:val="0"/>
      <w:sz w:val="24"/>
      <w:szCs w:val="24"/>
      <w:lang w:eastAsia="es-CR"/>
      <w14:ligatures w14:val="none"/>
    </w:rPr>
  </w:style>
  <w:style w:type="paragraph" w:styleId="Encabezado">
    <w:name w:val="header"/>
    <w:basedOn w:val="Normal"/>
    <w:link w:val="EncabezadoCar"/>
    <w:uiPriority w:val="99"/>
    <w:unhideWhenUsed/>
    <w:rsid w:val="00BA0B1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0B1F"/>
    <w:rPr>
      <w:noProof/>
    </w:rPr>
  </w:style>
  <w:style w:type="paragraph" w:styleId="Piedepgina">
    <w:name w:val="footer"/>
    <w:basedOn w:val="Normal"/>
    <w:link w:val="PiedepginaCar"/>
    <w:uiPriority w:val="99"/>
    <w:unhideWhenUsed/>
    <w:rsid w:val="00BA0B1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0B1F"/>
    <w:rPr>
      <w:noProof/>
    </w:rPr>
  </w:style>
  <w:style w:type="character" w:styleId="Textoennegrita">
    <w:name w:val="Strong"/>
    <w:basedOn w:val="Fuentedeprrafopredeter"/>
    <w:uiPriority w:val="22"/>
    <w:qFormat/>
    <w:rsid w:val="00297E59"/>
    <w:rPr>
      <w:b/>
      <w:bCs/>
    </w:rPr>
  </w:style>
  <w:style w:type="character" w:customStyle="1" w:styleId="sr-only">
    <w:name w:val="sr-only"/>
    <w:basedOn w:val="Fuentedeprrafopredeter"/>
    <w:rsid w:val="006D42DC"/>
  </w:style>
  <w:style w:type="character" w:customStyle="1" w:styleId="badge">
    <w:name w:val="badge"/>
    <w:basedOn w:val="Fuentedeprrafopredeter"/>
    <w:rsid w:val="006D42DC"/>
  </w:style>
  <w:style w:type="character" w:customStyle="1" w:styleId="font-weight-normal">
    <w:name w:val="font-weight-normal"/>
    <w:basedOn w:val="Fuentedeprrafopredeter"/>
    <w:rsid w:val="006D4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6918581">
      <w:bodyDiv w:val="1"/>
      <w:marLeft w:val="0"/>
      <w:marRight w:val="0"/>
      <w:marTop w:val="0"/>
      <w:marBottom w:val="0"/>
      <w:divBdr>
        <w:top w:val="none" w:sz="0" w:space="0" w:color="auto"/>
        <w:left w:val="none" w:sz="0" w:space="0" w:color="auto"/>
        <w:bottom w:val="none" w:sz="0" w:space="0" w:color="auto"/>
        <w:right w:val="none" w:sz="0" w:space="0" w:color="auto"/>
      </w:divBdr>
    </w:div>
    <w:div w:id="693385837">
      <w:bodyDiv w:val="1"/>
      <w:marLeft w:val="0"/>
      <w:marRight w:val="0"/>
      <w:marTop w:val="0"/>
      <w:marBottom w:val="0"/>
      <w:divBdr>
        <w:top w:val="none" w:sz="0" w:space="0" w:color="auto"/>
        <w:left w:val="none" w:sz="0" w:space="0" w:color="auto"/>
        <w:bottom w:val="none" w:sz="0" w:space="0" w:color="auto"/>
        <w:right w:val="none" w:sz="0" w:space="0" w:color="auto"/>
      </w:divBdr>
      <w:divsChild>
        <w:div w:id="2068988106">
          <w:marLeft w:val="0"/>
          <w:marRight w:val="0"/>
          <w:marTop w:val="0"/>
          <w:marBottom w:val="0"/>
          <w:divBdr>
            <w:top w:val="none" w:sz="0" w:space="0" w:color="auto"/>
            <w:left w:val="none" w:sz="0" w:space="0" w:color="auto"/>
            <w:bottom w:val="none" w:sz="0" w:space="0" w:color="auto"/>
            <w:right w:val="none" w:sz="0" w:space="0" w:color="auto"/>
          </w:divBdr>
        </w:div>
      </w:divsChild>
    </w:div>
    <w:div w:id="984357874">
      <w:bodyDiv w:val="1"/>
      <w:marLeft w:val="0"/>
      <w:marRight w:val="0"/>
      <w:marTop w:val="0"/>
      <w:marBottom w:val="0"/>
      <w:divBdr>
        <w:top w:val="none" w:sz="0" w:space="0" w:color="auto"/>
        <w:left w:val="none" w:sz="0" w:space="0" w:color="auto"/>
        <w:bottom w:val="none" w:sz="0" w:space="0" w:color="auto"/>
        <w:right w:val="none" w:sz="0" w:space="0" w:color="auto"/>
      </w:divBdr>
    </w:div>
    <w:div w:id="1125778890">
      <w:bodyDiv w:val="1"/>
      <w:marLeft w:val="0"/>
      <w:marRight w:val="0"/>
      <w:marTop w:val="0"/>
      <w:marBottom w:val="0"/>
      <w:divBdr>
        <w:top w:val="none" w:sz="0" w:space="0" w:color="auto"/>
        <w:left w:val="none" w:sz="0" w:space="0" w:color="auto"/>
        <w:bottom w:val="none" w:sz="0" w:space="0" w:color="auto"/>
        <w:right w:val="none" w:sz="0" w:space="0" w:color="auto"/>
      </w:divBdr>
      <w:divsChild>
        <w:div w:id="1057701246">
          <w:marLeft w:val="0"/>
          <w:marRight w:val="0"/>
          <w:marTop w:val="0"/>
          <w:marBottom w:val="0"/>
          <w:divBdr>
            <w:top w:val="none" w:sz="0" w:space="0" w:color="auto"/>
            <w:left w:val="none" w:sz="0" w:space="0" w:color="auto"/>
            <w:bottom w:val="none" w:sz="0" w:space="0" w:color="auto"/>
            <w:right w:val="none" w:sz="0" w:space="0" w:color="auto"/>
          </w:divBdr>
          <w:divsChild>
            <w:div w:id="1745760001">
              <w:marLeft w:val="0"/>
              <w:marRight w:val="0"/>
              <w:marTop w:val="0"/>
              <w:marBottom w:val="0"/>
              <w:divBdr>
                <w:top w:val="none" w:sz="0" w:space="0" w:color="auto"/>
                <w:left w:val="none" w:sz="0" w:space="0" w:color="auto"/>
                <w:bottom w:val="none" w:sz="0" w:space="0" w:color="auto"/>
                <w:right w:val="none" w:sz="0" w:space="0" w:color="auto"/>
              </w:divBdr>
              <w:divsChild>
                <w:div w:id="57732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152">
          <w:marLeft w:val="0"/>
          <w:marRight w:val="0"/>
          <w:marTop w:val="0"/>
          <w:marBottom w:val="0"/>
          <w:divBdr>
            <w:top w:val="none" w:sz="0" w:space="0" w:color="auto"/>
            <w:left w:val="none" w:sz="0" w:space="0" w:color="auto"/>
            <w:bottom w:val="none" w:sz="0" w:space="0" w:color="auto"/>
            <w:right w:val="none" w:sz="0" w:space="0" w:color="auto"/>
          </w:divBdr>
          <w:divsChild>
            <w:div w:id="5381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0498">
      <w:bodyDiv w:val="1"/>
      <w:marLeft w:val="0"/>
      <w:marRight w:val="0"/>
      <w:marTop w:val="0"/>
      <w:marBottom w:val="0"/>
      <w:divBdr>
        <w:top w:val="none" w:sz="0" w:space="0" w:color="auto"/>
        <w:left w:val="none" w:sz="0" w:space="0" w:color="auto"/>
        <w:bottom w:val="none" w:sz="0" w:space="0" w:color="auto"/>
        <w:right w:val="none" w:sz="0" w:space="0" w:color="auto"/>
      </w:divBdr>
      <w:divsChild>
        <w:div w:id="1597598299">
          <w:marLeft w:val="0"/>
          <w:marRight w:val="0"/>
          <w:marTop w:val="0"/>
          <w:marBottom w:val="0"/>
          <w:divBdr>
            <w:top w:val="none" w:sz="0" w:space="0" w:color="auto"/>
            <w:left w:val="none" w:sz="0" w:space="0" w:color="auto"/>
            <w:bottom w:val="none" w:sz="0" w:space="0" w:color="auto"/>
            <w:right w:val="none" w:sz="0" w:space="0" w:color="auto"/>
          </w:divBdr>
          <w:divsChild>
            <w:div w:id="1510019625">
              <w:marLeft w:val="0"/>
              <w:marRight w:val="0"/>
              <w:marTop w:val="0"/>
              <w:marBottom w:val="0"/>
              <w:divBdr>
                <w:top w:val="none" w:sz="0" w:space="0" w:color="auto"/>
                <w:left w:val="none" w:sz="0" w:space="0" w:color="auto"/>
                <w:bottom w:val="none" w:sz="0" w:space="0" w:color="auto"/>
                <w:right w:val="none" w:sz="0" w:space="0" w:color="auto"/>
              </w:divBdr>
              <w:divsChild>
                <w:div w:id="506021955">
                  <w:marLeft w:val="0"/>
                  <w:marRight w:val="0"/>
                  <w:marTop w:val="0"/>
                  <w:marBottom w:val="0"/>
                  <w:divBdr>
                    <w:top w:val="none" w:sz="0" w:space="0" w:color="auto"/>
                    <w:left w:val="none" w:sz="0" w:space="0" w:color="auto"/>
                    <w:bottom w:val="none" w:sz="0" w:space="0" w:color="auto"/>
                    <w:right w:val="none" w:sz="0" w:space="0" w:color="auto"/>
                  </w:divBdr>
                </w:div>
              </w:divsChild>
            </w:div>
            <w:div w:id="107370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101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33</Pages>
  <Words>10790</Words>
  <Characters>59347</Characters>
  <Application>Microsoft Office Word</Application>
  <DocSecurity>0</DocSecurity>
  <Lines>494</Lines>
  <Paragraphs>139</Paragraphs>
  <ScaleCrop>false</ScaleCrop>
  <HeadingPairs>
    <vt:vector size="4" baseType="variant">
      <vt:variant>
        <vt:lpstr>Título</vt:lpstr>
      </vt:variant>
      <vt:variant>
        <vt:i4>1</vt:i4>
      </vt:variant>
      <vt:variant>
        <vt:lpstr>Títulos</vt:lpstr>
      </vt:variant>
      <vt:variant>
        <vt:i4>36</vt:i4>
      </vt:variant>
    </vt:vector>
  </HeadingPairs>
  <TitlesOfParts>
    <vt:vector size="37" baseType="lpstr">
      <vt:lpstr/>
      <vt:lpstr>        1. Concepto</vt:lpstr>
      <vt:lpstr>        2. Características</vt:lpstr>
      <vt:lpstr>        3. Fines</vt:lpstr>
      <vt:lpstr>        4. Plazos</vt:lpstr>
      <vt:lpstr>        1. Contraloría General de la República (CGR)</vt:lpstr>
      <vt:lpstr>        2. Auditorías Internas</vt:lpstr>
      <vt:lpstr>        3. Administración Pública</vt:lpstr>
      <vt:lpstr>        4. Denunciante</vt:lpstr>
      <vt:lpstr>        A pesar de lo anterior, se aclara que el denunciante guarda el derecho de conoce</vt:lpstr>
      <vt:lpstr>        Investigado</vt:lpstr>
      <vt:lpstr>    </vt:lpstr>
      <vt:lpstr>    </vt:lpstr>
      <vt:lpstr>    Tópico n.º 3: El proceso de investigación</vt:lpstr>
      <vt:lpstr>        1. La Denuncia</vt:lpstr>
      <vt:lpstr>        1.1. Formalidades y medios para plantear una denuncia</vt:lpstr>
      <vt:lpstr>        .2. Admisibilidad y análisis de la denuncia</vt:lpstr>
      <vt:lpstr>        .3. Causas de rechazo</vt:lpstr>
      <vt:lpstr>        1.4. Traslado de la denuncia</vt:lpstr>
      <vt:lpstr>        Como se establece en el inciso a) del numeral 17 del RLCCEIFP, en aquellos supue</vt:lpstr>
      <vt:lpstr>        </vt:lpstr>
      <vt:lpstr>        Etapas del Proceso de Investigación preliminar</vt:lpstr>
      <vt:lpstr>        2.1.2. El Programa de la investigación preliminar</vt:lpstr>
      <vt:lpstr>        2.2. Etapa de examen</vt:lpstr>
      <vt:lpstr>        2.2.1. Actividad de recopilación de prueba</vt:lpstr>
      <vt:lpstr>        2.2.1.1. Concepto de prueba</vt:lpstr>
      <vt:lpstr>        2.2.1.3. Medio de prueba</vt:lpstr>
      <vt:lpstr>        2.2.1.4. Elemento de prueba</vt:lpstr>
      <vt:lpstr>        2.2.2. Análisis de la prueba</vt:lpstr>
      <vt:lpstr>        2.3. Etapa de comunicación de resultados</vt:lpstr>
      <vt:lpstr>        2.3.1. El informe de Investigación Preliminar</vt:lpstr>
      <vt:lpstr>        2.3.2. Denuncias de naturaleza penal</vt:lpstr>
      <vt:lpstr>        2.4. Etapa de Seguimiento</vt:lpstr>
      <vt:lpstr>    -Tópico n.º 4: Regulación de la confidencialidad en las investigaciones prelimin</vt:lpstr>
      <vt:lpstr>    1. Confidencialidad de la investigación preliminar.</vt:lpstr>
      <vt:lpstr>    </vt:lpstr>
      <vt:lpstr>    </vt:lpstr>
    </vt:vector>
  </TitlesOfParts>
  <Company/>
  <LinksUpToDate>false</LinksUpToDate>
  <CharactersWithSpaces>69998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Mercedes Saenz Zuñiga</dc:creator>
  <cp:keywords/>
  <dc:description/>
  <cp:lastModifiedBy>Kattia Ivannia Villalobos Molina</cp:lastModifiedBy>
  <cp:revision>8</cp:revision>
  <dcterms:created xsi:type="dcterms:W3CDTF">2025-03-26T16:06:00Z</dcterms:created>
  <dcterms:modified xsi:type="dcterms:W3CDTF">2025-03-26T22:10:00Z</dcterms:modified>
</cp:coreProperties>
</file>